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A08F" w14:textId="77777777" w:rsidR="00743A93" w:rsidRDefault="00743A93" w:rsidP="00743A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C2A4B2A" w14:textId="77777777" w:rsidR="00743A93" w:rsidRDefault="00743A93" w:rsidP="00743A93">
      <w:pPr>
        <w:jc w:val="center"/>
        <w:rPr>
          <w:b/>
          <w:sz w:val="26"/>
          <w:szCs w:val="26"/>
        </w:rPr>
      </w:pPr>
    </w:p>
    <w:p w14:paraId="2D927375" w14:textId="3AAEBA14" w:rsidR="00743A93" w:rsidRDefault="00743A93" w:rsidP="00743A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  <w:r w:rsidR="001554AD">
        <w:rPr>
          <w:rFonts w:ascii="Times New Roman" w:eastAsia="Times New Roman" w:hAnsi="Times New Roman" w:cs="Times New Roman"/>
          <w:b/>
          <w:sz w:val="30"/>
          <w:szCs w:val="30"/>
        </w:rPr>
        <w:t xml:space="preserve"> 00105</w:t>
      </w:r>
    </w:p>
    <w:p w14:paraId="66642A3D" w14:textId="77777777" w:rsidR="00743A93" w:rsidRDefault="00743A93" w:rsidP="00743A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 ПОСЛУГИ</w:t>
      </w:r>
    </w:p>
    <w:p w14:paraId="2BB56517" w14:textId="1A2400CF" w:rsidR="00743A93" w:rsidRDefault="00A66099" w:rsidP="00A660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43A93">
        <w:rPr>
          <w:rFonts w:ascii="Times New Roman" w:eastAsia="Times New Roman" w:hAnsi="Times New Roman" w:cs="Times New Roman"/>
          <w:b/>
          <w:sz w:val="28"/>
          <w:szCs w:val="28"/>
        </w:rPr>
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8F3F1A7" w14:textId="77777777" w:rsidR="00743A93" w:rsidRPr="00B34C8A" w:rsidRDefault="00743A93" w:rsidP="00A66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A893DC3" w14:textId="77777777" w:rsidR="00A66099" w:rsidRPr="00DB7EE0" w:rsidRDefault="00A66099" w:rsidP="00A660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EE0">
        <w:rPr>
          <w:rFonts w:ascii="Times New Roman" w:hAnsi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6E1338C1" w14:textId="77777777" w:rsidR="00A66099" w:rsidRPr="00DB7EE0" w:rsidRDefault="00A66099" w:rsidP="00A66099">
      <w:pPr>
        <w:jc w:val="center"/>
        <w:rPr>
          <w:sz w:val="20"/>
          <w:szCs w:val="20"/>
        </w:rPr>
      </w:pPr>
      <w:r w:rsidRPr="00DB7EE0">
        <w:rPr>
          <w:rFonts w:ascii="Times New Roman" w:hAnsi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121D97" w14:textId="77777777" w:rsidR="009C14A7" w:rsidRPr="009C14A7" w:rsidRDefault="009C14A7" w:rsidP="00743A9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1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820"/>
        <w:gridCol w:w="9497"/>
      </w:tblGrid>
      <w:tr w:rsidR="00A66099" w:rsidRPr="00A66099" w14:paraId="73708495" w14:textId="77777777" w:rsidTr="0083772A">
        <w:tc>
          <w:tcPr>
            <w:tcW w:w="1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55CC" w14:textId="77777777" w:rsidR="00A66099" w:rsidRPr="00A66099" w:rsidRDefault="00A66099" w:rsidP="00A66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=id.30j0zll" w:colFirst="0" w:colLast="0"/>
            <w:bookmarkEnd w:id="1"/>
            <w:r w:rsidRPr="00A66099">
              <w:rPr>
                <w:rFonts w:ascii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5FEF1E76" w14:textId="7A664095" w:rsidR="00743A93" w:rsidRPr="00A66099" w:rsidRDefault="00A66099" w:rsidP="00A6609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6099">
              <w:rPr>
                <w:rFonts w:ascii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A66099" w:rsidRPr="00A66099" w14:paraId="30CBFEFF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1AA" w14:textId="1090DDFD" w:rsidR="00A66099" w:rsidRPr="00A66099" w:rsidRDefault="00A66099" w:rsidP="00A660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E235" w14:textId="57379B32" w:rsidR="00A66099" w:rsidRPr="00A66099" w:rsidRDefault="00A66099" w:rsidP="00A66099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Місцезнаходження ЦНАП: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9290" w14:textId="77777777" w:rsidR="0083772A" w:rsidRDefault="00A66099" w:rsidP="00A66099">
            <w:pPr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 xml:space="preserve">Полтавська область, </w:t>
            </w:r>
          </w:p>
          <w:p w14:paraId="571478D8" w14:textId="77777777" w:rsidR="0083772A" w:rsidRDefault="00A66099" w:rsidP="00A66099">
            <w:pPr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 xml:space="preserve">Миргородський район, </w:t>
            </w:r>
          </w:p>
          <w:p w14:paraId="6C1D0815" w14:textId="0AE38FE8" w:rsidR="00A66099" w:rsidRPr="00A66099" w:rsidRDefault="00A66099" w:rsidP="00A66099">
            <w:pPr>
              <w:rPr>
                <w:rFonts w:ascii="Times New Roman" w:eastAsia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>смт Гоголеве, вул.. Горєва, 30</w:t>
            </w:r>
          </w:p>
        </w:tc>
      </w:tr>
      <w:tr w:rsidR="00A66099" w:rsidRPr="00A66099" w14:paraId="38F9C65A" w14:textId="77777777" w:rsidTr="0083772A">
        <w:trPr>
          <w:trHeight w:val="102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FBC" w14:textId="77777777" w:rsidR="00A66099" w:rsidRPr="00A66099" w:rsidRDefault="00A66099" w:rsidP="00A660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A3A1" w14:textId="4C9EB5AE" w:rsidR="00A66099" w:rsidRPr="00A66099" w:rsidRDefault="00A66099" w:rsidP="00A66099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Інформація щодо режиму роботи ЦНАП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94D6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>Понеділок, Вівторок з 08:00 до 16:30</w:t>
            </w:r>
          </w:p>
          <w:p w14:paraId="336F9775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>Середа з 08:00 до 20:00</w:t>
            </w:r>
          </w:p>
          <w:p w14:paraId="5B122271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>Четвер, П’ятниця з 08:00 до 16:00</w:t>
            </w:r>
          </w:p>
          <w:p w14:paraId="2B496022" w14:textId="61C03911" w:rsidR="00A66099" w:rsidRPr="00A66099" w:rsidRDefault="00A66099" w:rsidP="00A66099">
            <w:pPr>
              <w:rPr>
                <w:rFonts w:ascii="Times New Roman" w:eastAsia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>ЦНАП працює без обідньої перерви</w:t>
            </w:r>
          </w:p>
        </w:tc>
      </w:tr>
      <w:tr w:rsidR="00A66099" w:rsidRPr="00A66099" w14:paraId="7FA6C69F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47E8" w14:textId="77777777" w:rsidR="00A66099" w:rsidRPr="00A66099" w:rsidRDefault="00A66099" w:rsidP="00A660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B586" w14:textId="77777777" w:rsidR="00A66099" w:rsidRPr="00A66099" w:rsidRDefault="00A66099" w:rsidP="00A66099">
            <w:pPr>
              <w:rPr>
                <w:rFonts w:ascii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Телефон/факс (довідки), адреса електронної пошти та веб-сайт:</w:t>
            </w:r>
          </w:p>
          <w:p w14:paraId="3A42679F" w14:textId="1C58C613" w:rsidR="00A66099" w:rsidRPr="00A66099" w:rsidRDefault="00A66099" w:rsidP="00A66099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0E64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proofErr w:type="spellStart"/>
            <w:r w:rsidRPr="00A66099"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 w:rsidRPr="00A66099">
              <w:rPr>
                <w:rFonts w:ascii="Times New Roman" w:hAnsi="Times New Roman" w:cs="Times New Roman"/>
                <w:i/>
              </w:rPr>
              <w:t>.. (05345)9-54-42</w:t>
            </w:r>
          </w:p>
          <w:p w14:paraId="7461DE3A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A66099">
              <w:rPr>
                <w:rFonts w:ascii="Times New Roman" w:hAnsi="Times New Roman" w:cs="Times New Roman"/>
                <w:i/>
              </w:rPr>
              <w:t xml:space="preserve">Веб. сайт </w:t>
            </w:r>
          </w:p>
          <w:p w14:paraId="69975758" w14:textId="77777777" w:rsidR="00A66099" w:rsidRPr="00A66099" w:rsidRDefault="00A66099" w:rsidP="00A66099">
            <w:pPr>
              <w:tabs>
                <w:tab w:val="left" w:pos="403"/>
              </w:tabs>
              <w:spacing w:line="276" w:lineRule="auto"/>
              <w:ind w:left="119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A66099">
              <w:rPr>
                <w:rFonts w:ascii="Times New Roman" w:hAnsi="Times New Roman" w:cs="Times New Roman"/>
                <w:i/>
              </w:rPr>
              <w:t>Е-пошта</w:t>
            </w:r>
          </w:p>
          <w:p w14:paraId="32303D27" w14:textId="6DFEC9F8" w:rsidR="00A66099" w:rsidRPr="00A66099" w:rsidRDefault="00A66099" w:rsidP="00A66099">
            <w:pPr>
              <w:rPr>
                <w:rFonts w:ascii="Times New Roman" w:eastAsia="Times New Roman" w:hAnsi="Times New Roman" w:cs="Times New Roman"/>
                <w:i/>
              </w:rPr>
            </w:pPr>
            <w:r w:rsidRPr="00A66099">
              <w:rPr>
                <w:rStyle w:val="a9"/>
                <w:rFonts w:ascii="Times New Roman" w:hAnsi="Times New Roman" w:cs="Times New Roman"/>
                <w:i/>
                <w:color w:val="auto"/>
              </w:rPr>
              <w:t>tcnap_gogolivskaotg@ukr.net</w:t>
            </w:r>
          </w:p>
        </w:tc>
      </w:tr>
      <w:tr w:rsidR="00A66099" w:rsidRPr="00A66099" w14:paraId="05347956" w14:textId="77777777" w:rsidTr="0083772A">
        <w:tc>
          <w:tcPr>
            <w:tcW w:w="1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D093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099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66099" w:rsidRPr="00A66099" w14:paraId="5C4F902A" w14:textId="77777777" w:rsidTr="0083772A">
        <w:trPr>
          <w:trHeight w:val="94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9B3A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E8BE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B7B7" w14:textId="0C4285ED" w:rsidR="00743A93" w:rsidRPr="00A66099" w:rsidRDefault="00617BCF" w:rsidP="0032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8A41C1" w:rsidRPr="00A66099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Закон України “Про волонтерську діяльність”</w:t>
              </w:r>
            </w:hyperlink>
            <w:r w:rsidR="008A41C1" w:rsidRPr="00A660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6099" w:rsidRPr="00A66099" w14:paraId="1B541E88" w14:textId="77777777" w:rsidTr="0083772A">
        <w:trPr>
          <w:trHeight w:val="88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8D4C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87FB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8D43" w14:textId="6A7AFD94" w:rsidR="00743A93" w:rsidRPr="00A66099" w:rsidRDefault="00617BCF" w:rsidP="003238F1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A41C1" w:rsidRPr="00A66099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  </w:r>
            </w:hyperlink>
          </w:p>
        </w:tc>
      </w:tr>
      <w:tr w:rsidR="00A66099" w:rsidRPr="00A66099" w14:paraId="4BCCC7E5" w14:textId="77777777" w:rsidTr="0083772A">
        <w:trPr>
          <w:trHeight w:val="174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FD0F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DE06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6127" w14:textId="36B73296" w:rsidR="00743A93" w:rsidRPr="00A66099" w:rsidRDefault="00617BCF" w:rsidP="00323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8A41C1" w:rsidRPr="00A66099">
                <w:rPr>
                  <w:rStyle w:val="a9"/>
                  <w:rFonts w:ascii="Times New Roman" w:eastAsia="Times New Roman" w:hAnsi="Times New Roman" w:cs="Times New Roman"/>
                  <w:color w:val="auto"/>
                </w:rPr>
                <w:t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 521/36143</w:t>
              </w:r>
            </w:hyperlink>
          </w:p>
        </w:tc>
      </w:tr>
      <w:tr w:rsidR="00A66099" w:rsidRPr="00A66099" w14:paraId="271AC485" w14:textId="77777777" w:rsidTr="0083772A">
        <w:tc>
          <w:tcPr>
            <w:tcW w:w="14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74E9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099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A66099" w:rsidRPr="00A66099" w14:paraId="60C22ED0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ECCB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16B8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 xml:space="preserve">Підстава для отримання адміністративної послуги 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44B1" w14:textId="77777777" w:rsidR="00743A93" w:rsidRPr="00A66099" w:rsidRDefault="00743A93" w:rsidP="003238F1">
            <w:pPr>
              <w:ind w:firstLine="8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Звернення особи у зв’язку із загибеллю (смертю) волонтера</w:t>
            </w:r>
            <w:bookmarkStart w:id="2" w:name="bookmark=id.1fob9te" w:colFirst="0" w:colLast="0"/>
            <w:bookmarkEnd w:id="2"/>
          </w:p>
        </w:tc>
      </w:tr>
      <w:tr w:rsidR="00A66099" w:rsidRPr="00A66099" w14:paraId="15C6A24F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CCB7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3238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487D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1) Заява кожного заявника,  якщо в загиблого залишилася малолітня чи неповнолітня дитина, - заяву подає інший з батьків, опікун або піклувальник.</w:t>
            </w:r>
          </w:p>
          <w:p w14:paraId="630CBB73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До заяви додаються копії:</w:t>
            </w:r>
          </w:p>
          <w:p w14:paraId="7A801506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свідоцтва про смерть волонтера;</w:t>
            </w:r>
          </w:p>
          <w:p w14:paraId="1EB376C0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свідоцтва про народження волонтера - для виплати одноразової грошової допомоги батькам загиблого (померлого);</w:t>
            </w:r>
          </w:p>
          <w:p w14:paraId="65DF690F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свідоцтва про шлюб - для виплати грошової допомоги дружині (чоловікові);</w:t>
            </w:r>
          </w:p>
          <w:p w14:paraId="46CE3EF6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сторінок паспорта заявника з даними про прізвище, ім'я та по батькові, дату його видачі і місце реєстрації;</w:t>
            </w:r>
          </w:p>
          <w:p w14:paraId="71524D63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свідоцтва про народження дитини - для виплати одноразової грошової допомоги дитині;</w:t>
            </w:r>
          </w:p>
          <w:p w14:paraId="7D6FCFFD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lastRenderedPageBreak/>
              <w:t>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кожного заявника, а якщо серед них є дитина, - одного з батьків або опікунів чи піклувальників;</w:t>
            </w:r>
          </w:p>
          <w:p w14:paraId="458B1505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рішення районної, районної у мм. Києві та Севастополі держадміністрації, виконавчого органу міської, районної у місті (у разі їх створення), сільської, селищної ради або суду про встановлення опіки чи піклування над дитиною-сиротою, дитиною, позбавленою батьківського піклування (у разі здійснення опіки або піклування над дитиною загиблого волонтера);</w:t>
            </w:r>
          </w:p>
          <w:p w14:paraId="03B24141" w14:textId="77777777" w:rsidR="00743A93" w:rsidRPr="00A66099" w:rsidRDefault="00743A93" w:rsidP="00743A93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рішення суду або нотаріально посвідченого правочину, що підтверджує факт перебування заявника на утриманні загиблого (померлого), - для виплати допомоги особі, яка не була членом сім'ї загиблого (померлого), але перебувала на його утриманні.</w:t>
            </w:r>
          </w:p>
          <w:p w14:paraId="687E0552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2) довідка судово-медичної експертизи про причини смерті або довідку про характер отриманих поранень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України;</w:t>
            </w:r>
          </w:p>
          <w:p w14:paraId="459F0929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3)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про надання волонтером волонтерської допомоги;</w:t>
            </w:r>
          </w:p>
          <w:p w14:paraId="012F32BB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firstLine="294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 xml:space="preserve">4)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</w:t>
            </w:r>
            <w:r w:rsidRPr="00A66099">
              <w:rPr>
                <w:rFonts w:ascii="Times New Roman" w:eastAsia="Times New Roman" w:hAnsi="Times New Roman" w:cs="Times New Roman"/>
              </w:rPr>
              <w:lastRenderedPageBreak/>
              <w:t>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  <w:p w14:paraId="0AB9D254" w14:textId="77777777" w:rsidR="00743A93" w:rsidRPr="00A66099" w:rsidRDefault="00743A93" w:rsidP="00323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6099" w:rsidRPr="00A66099" w14:paraId="4801280E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5BC0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8292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E482" w14:textId="1ED849EA" w:rsidR="00743A93" w:rsidRPr="00A66099" w:rsidRDefault="00743A93" w:rsidP="00A660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 xml:space="preserve">Заява та документи подаються заявником особисто чи поштою </w:t>
            </w:r>
            <w:r w:rsidRPr="00A66099">
              <w:rPr>
                <w:rFonts w:ascii="Times New Roman" w:hAnsi="Times New Roman" w:cs="Times New Roman"/>
              </w:rPr>
              <w:t xml:space="preserve">на адресу </w:t>
            </w:r>
            <w:proofErr w:type="spellStart"/>
            <w:r w:rsidRPr="00A66099">
              <w:rPr>
                <w:rFonts w:ascii="Times New Roman" w:hAnsi="Times New Roman" w:cs="Times New Roman"/>
              </w:rPr>
              <w:t>Мінветеранів</w:t>
            </w:r>
            <w:proofErr w:type="spellEnd"/>
            <w:r w:rsidRPr="00A66099">
              <w:rPr>
                <w:rFonts w:ascii="Times New Roman" w:hAnsi="Times New Roman" w:cs="Times New Roman"/>
              </w:rPr>
              <w:t xml:space="preserve">: </w:t>
            </w:r>
            <w:r w:rsidR="00A66099" w:rsidRPr="00A66099">
              <w:rPr>
                <w:rFonts w:ascii="Times New Roman" w:hAnsi="Times New Roman" w:cs="Times New Roman"/>
              </w:rPr>
              <w:t>м. Київ, «Нова пошта» № 345</w:t>
            </w:r>
          </w:p>
        </w:tc>
      </w:tr>
      <w:tr w:rsidR="00A66099" w:rsidRPr="00A66099" w14:paraId="084E08DE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748E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52C3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E154" w14:textId="77777777" w:rsidR="00743A93" w:rsidRPr="00A66099" w:rsidRDefault="00743A93" w:rsidP="003238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A66099" w:rsidRPr="00A66099" w14:paraId="214D3E4B" w14:textId="77777777" w:rsidTr="0083772A">
        <w:trPr>
          <w:trHeight w:val="50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ECB7" w14:textId="77777777" w:rsidR="00743A93" w:rsidRPr="00A66099" w:rsidRDefault="00743A93" w:rsidP="003238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E791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A3A1" w14:textId="53493425" w:rsidR="00743A93" w:rsidRPr="00A66099" w:rsidRDefault="009C14A7" w:rsidP="003238F1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hAnsi="Times New Roman" w:cs="Times New Roman"/>
              </w:rPr>
              <w:t>30 календарних днів з дня надходження заяви (уточненої інформації)</w:t>
            </w:r>
          </w:p>
        </w:tc>
      </w:tr>
      <w:tr w:rsidR="00A66099" w:rsidRPr="00A66099" w14:paraId="1BA4BBD9" w14:textId="77777777" w:rsidTr="0083772A">
        <w:trPr>
          <w:trHeight w:val="5938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7ED1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DAE9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2908" w14:textId="01A86D92" w:rsidR="00E26981" w:rsidRPr="00A66099" w:rsidRDefault="00E26981" w:rsidP="00E26981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 xml:space="preserve">1) відсутність документів, які містять достатні докази того, що </w:t>
            </w:r>
            <w:r w:rsidR="00FD698F" w:rsidRPr="00A66099">
              <w:rPr>
                <w:sz w:val="24"/>
                <w:szCs w:val="24"/>
              </w:rPr>
              <w:t xml:space="preserve">загибель (смерть) </w:t>
            </w:r>
            <w:r w:rsidRPr="00A66099">
              <w:rPr>
                <w:sz w:val="24"/>
                <w:szCs w:val="24"/>
              </w:rPr>
              <w:t>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507B02D4" w14:textId="77777777" w:rsidR="00E26981" w:rsidRPr="00A66099" w:rsidRDefault="00E26981" w:rsidP="00E26981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2) подання завідомо неправдивих відомостей;</w:t>
            </w:r>
          </w:p>
          <w:p w14:paraId="1A286093" w14:textId="77777777" w:rsidR="00E26981" w:rsidRPr="00A66099" w:rsidRDefault="00E26981" w:rsidP="00E26981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3) виявлення факту підробок у поданих документах;</w:t>
            </w:r>
          </w:p>
          <w:p w14:paraId="1A0DADEA" w14:textId="77777777" w:rsidR="00E26981" w:rsidRPr="00A66099" w:rsidRDefault="00E26981" w:rsidP="00E26981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 xml:space="preserve">4) наявності обвинувального </w:t>
            </w:r>
            <w:proofErr w:type="spellStart"/>
            <w:r w:rsidRPr="00A66099">
              <w:rPr>
                <w:sz w:val="24"/>
                <w:szCs w:val="24"/>
              </w:rPr>
              <w:t>вироку</w:t>
            </w:r>
            <w:proofErr w:type="spellEnd"/>
            <w:r w:rsidRPr="00A66099">
              <w:rPr>
                <w:sz w:val="24"/>
                <w:szCs w:val="24"/>
              </w:rPr>
              <w:t xml:space="preserve">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50D1CCA5" w14:textId="05B20731" w:rsidR="00743A93" w:rsidRPr="00A66099" w:rsidRDefault="00E26981" w:rsidP="00FD698F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 xml:space="preserve">5) </w:t>
            </w:r>
            <w:r w:rsidR="00FD698F" w:rsidRPr="00A66099">
              <w:rPr>
                <w:sz w:val="24"/>
                <w:szCs w:val="24"/>
              </w:rPr>
              <w:t>якщо загибель (смерть)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ушкодження, самогубства (крім установленого судом факту доведення особи до самогубства) або інших обставин, не пов’язаних із волонтерською діяльністю.</w:t>
            </w:r>
          </w:p>
        </w:tc>
      </w:tr>
      <w:tr w:rsidR="00A66099" w:rsidRPr="00A66099" w14:paraId="3CA8BB63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2882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D14E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5B26" w14:textId="3E4FB758" w:rsidR="00743A93" w:rsidRPr="00A66099" w:rsidRDefault="00743A93" w:rsidP="003238F1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 xml:space="preserve">Рішення про призначення </w:t>
            </w:r>
            <w:r w:rsidR="009C14A7" w:rsidRPr="00A66099">
              <w:rPr>
                <w:rFonts w:ascii="Times New Roman" w:eastAsia="Times New Roman" w:hAnsi="Times New Roman" w:cs="Times New Roman"/>
              </w:rPr>
              <w:t>(відмову у призначенні)</w:t>
            </w:r>
            <w:r w:rsidRPr="00A66099">
              <w:rPr>
                <w:rFonts w:ascii="Times New Roman" w:eastAsia="Times New Roman" w:hAnsi="Times New Roman" w:cs="Times New Roman"/>
              </w:rPr>
              <w:t xml:space="preserve"> одноразової грошової допомоги</w:t>
            </w:r>
            <w:bookmarkStart w:id="3" w:name="bookmark=id.3znysh7" w:colFirst="0" w:colLast="0"/>
            <w:bookmarkEnd w:id="3"/>
          </w:p>
        </w:tc>
      </w:tr>
      <w:tr w:rsidR="00A66099" w:rsidRPr="00A66099" w14:paraId="6EBA81DF" w14:textId="77777777" w:rsidTr="0083772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A519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8BA5" w14:textId="77777777" w:rsidR="00743A93" w:rsidRPr="00A66099" w:rsidRDefault="00743A93" w:rsidP="003238F1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116F" w14:textId="77777777" w:rsidR="00743A93" w:rsidRPr="00A66099" w:rsidRDefault="00743A93" w:rsidP="00743A93">
            <w:pPr>
              <w:pStyle w:val="a6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особу.</w:t>
            </w:r>
          </w:p>
          <w:p w14:paraId="6BE296A7" w14:textId="77777777" w:rsidR="00743A93" w:rsidRPr="00A66099" w:rsidRDefault="00743A93" w:rsidP="00743A93">
            <w:pPr>
              <w:pStyle w:val="a6"/>
              <w:numPr>
                <w:ilvl w:val="0"/>
                <w:numId w:val="4"/>
              </w:numPr>
              <w:tabs>
                <w:tab w:val="left" w:pos="358"/>
              </w:tabs>
              <w:ind w:left="10" w:firstLine="35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>Результат надання адміністративної послуги отримується безпосередньо у Міністерстві у справах ветеранів України</w:t>
            </w:r>
          </w:p>
        </w:tc>
      </w:tr>
      <w:tr w:rsidR="00A66099" w:rsidRPr="00A66099" w14:paraId="305FE921" w14:textId="77777777" w:rsidTr="0083772A">
        <w:trPr>
          <w:trHeight w:val="114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94F8" w14:textId="77777777" w:rsidR="009C14A7" w:rsidRPr="00A66099" w:rsidRDefault="009C14A7" w:rsidP="006E2F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B714" w14:textId="77777777" w:rsidR="009C14A7" w:rsidRPr="00A66099" w:rsidRDefault="009C14A7" w:rsidP="006E2FD7">
            <w:pPr>
              <w:rPr>
                <w:rFonts w:ascii="Times New Roman" w:eastAsia="Times New Roman" w:hAnsi="Times New Roman" w:cs="Times New Roman"/>
              </w:rPr>
            </w:pPr>
            <w:r w:rsidRPr="00A66099">
              <w:rPr>
                <w:rFonts w:ascii="Times New Roman" w:eastAsia="Times New Roman" w:hAnsi="Times New Roman" w:cs="Times New Roman"/>
              </w:rPr>
              <w:t>Примітка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2A98" w14:textId="4CE115AC" w:rsidR="009C14A7" w:rsidRPr="00A66099" w:rsidRDefault="009C14A7" w:rsidP="009C14A7">
            <w:pPr>
              <w:pStyle w:val="a6"/>
              <w:tabs>
                <w:tab w:val="left" w:pos="358"/>
              </w:tabs>
              <w:ind w:left="10" w:firstLine="350"/>
              <w:rPr>
                <w:sz w:val="24"/>
                <w:szCs w:val="24"/>
              </w:rPr>
            </w:pPr>
            <w:r w:rsidRPr="00A66099">
              <w:rPr>
                <w:sz w:val="24"/>
                <w:szCs w:val="24"/>
              </w:rPr>
              <w:t xml:space="preserve">У разі коли одержувачі одноразової грошової допомоги одночасно мають право на отримання одноразової грошової допомоги, передбаченої Законом України </w:t>
            </w:r>
            <w:r w:rsidR="00C96DF2" w:rsidRPr="00A66099">
              <w:rPr>
                <w:sz w:val="24"/>
                <w:szCs w:val="24"/>
              </w:rPr>
              <w:t>“Про волонтерську діяльність”</w:t>
            </w:r>
            <w:r w:rsidRPr="00A66099">
              <w:rPr>
                <w:sz w:val="24"/>
                <w:szCs w:val="24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7E1B6BD5" w14:textId="77777777" w:rsidR="007B1FDA" w:rsidRPr="00743A93" w:rsidRDefault="007B1FDA" w:rsidP="00743A93"/>
    <w:sectPr w:rsidR="007B1FDA" w:rsidRPr="00743A93" w:rsidSect="009C14A7">
      <w:headerReference w:type="even" r:id="rId12"/>
      <w:headerReference w:type="default" r:id="rId13"/>
      <w:pgSz w:w="16838" w:h="11906" w:orient="landscape"/>
      <w:pgMar w:top="1134" w:right="851" w:bottom="1418" w:left="851" w:header="51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9173" w14:textId="77777777" w:rsidR="00617BCF" w:rsidRDefault="00617BCF" w:rsidP="009C14A7">
      <w:r>
        <w:separator/>
      </w:r>
    </w:p>
  </w:endnote>
  <w:endnote w:type="continuationSeparator" w:id="0">
    <w:p w14:paraId="0F9C85F3" w14:textId="77777777" w:rsidR="00617BCF" w:rsidRDefault="00617BCF" w:rsidP="009C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891F" w14:textId="77777777" w:rsidR="00617BCF" w:rsidRDefault="00617BCF" w:rsidP="009C14A7">
      <w:r>
        <w:separator/>
      </w:r>
    </w:p>
  </w:footnote>
  <w:footnote w:type="continuationSeparator" w:id="0">
    <w:p w14:paraId="2BAC94CE" w14:textId="77777777" w:rsidR="00617BCF" w:rsidRDefault="00617BCF" w:rsidP="009C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1344749441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024CEA71" w14:textId="084A5E65" w:rsidR="009C14A7" w:rsidRDefault="009C14A7" w:rsidP="00DE667D">
        <w:pPr>
          <w:pStyle w:val="af1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795525B" w14:textId="77777777" w:rsidR="009C14A7" w:rsidRDefault="009C14A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  <w:rFonts w:ascii="Times New Roman" w:hAnsi="Times New Roman" w:cs="Times New Roman"/>
        <w:sz w:val="28"/>
        <w:szCs w:val="28"/>
      </w:rPr>
      <w:id w:val="-853344434"/>
      <w:docPartObj>
        <w:docPartGallery w:val="Page Numbers (Top of Page)"/>
        <w:docPartUnique/>
      </w:docPartObj>
    </w:sdtPr>
    <w:sdtEndPr>
      <w:rPr>
        <w:rStyle w:val="af5"/>
      </w:rPr>
    </w:sdtEndPr>
    <w:sdtContent>
      <w:p w14:paraId="4B1712FD" w14:textId="33BEEA3F" w:rsidR="009C14A7" w:rsidRPr="00FD698F" w:rsidRDefault="009C14A7" w:rsidP="00DE667D">
        <w:pPr>
          <w:pStyle w:val="af1"/>
          <w:framePr w:wrap="none" w:vAnchor="text" w:hAnchor="margin" w:xAlign="center" w:y="1"/>
          <w:rPr>
            <w:rStyle w:val="af5"/>
            <w:rFonts w:ascii="Times New Roman" w:hAnsi="Times New Roman" w:cs="Times New Roman"/>
            <w:sz w:val="28"/>
            <w:szCs w:val="28"/>
          </w:rPr>
        </w:pP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begin"/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separate"/>
        </w:r>
        <w:r w:rsidR="00B24F2C">
          <w:rPr>
            <w:rStyle w:val="af5"/>
            <w:rFonts w:ascii="Times New Roman" w:hAnsi="Times New Roman" w:cs="Times New Roman"/>
            <w:noProof/>
            <w:sz w:val="28"/>
            <w:szCs w:val="28"/>
          </w:rPr>
          <w:t>2</w:t>
        </w:r>
        <w:r w:rsidRPr="00FD698F">
          <w:rPr>
            <w:rStyle w:val="af5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0936B7" w14:textId="77777777" w:rsidR="009C14A7" w:rsidRPr="00FD698F" w:rsidRDefault="009C14A7">
    <w:pPr>
      <w:pStyle w:val="af1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BC7"/>
    <w:multiLevelType w:val="hybridMultilevel"/>
    <w:tmpl w:val="7A94F1F8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F31"/>
    <w:multiLevelType w:val="hybridMultilevel"/>
    <w:tmpl w:val="FBA48972"/>
    <w:lvl w:ilvl="0" w:tplc="6D1A1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92F65"/>
    <w:multiLevelType w:val="hybridMultilevel"/>
    <w:tmpl w:val="8CD8E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DA"/>
    <w:rsid w:val="00097FC1"/>
    <w:rsid w:val="001554AD"/>
    <w:rsid w:val="001C203A"/>
    <w:rsid w:val="0028461B"/>
    <w:rsid w:val="002D4234"/>
    <w:rsid w:val="0030091B"/>
    <w:rsid w:val="00414DF5"/>
    <w:rsid w:val="00514A4A"/>
    <w:rsid w:val="005C2BA2"/>
    <w:rsid w:val="00617BCF"/>
    <w:rsid w:val="006E2291"/>
    <w:rsid w:val="00743A93"/>
    <w:rsid w:val="007B1FDA"/>
    <w:rsid w:val="0083772A"/>
    <w:rsid w:val="00843559"/>
    <w:rsid w:val="008A41C1"/>
    <w:rsid w:val="00992CC9"/>
    <w:rsid w:val="009C14A7"/>
    <w:rsid w:val="009F5E7C"/>
    <w:rsid w:val="00A66099"/>
    <w:rsid w:val="00B24F2C"/>
    <w:rsid w:val="00B34C8A"/>
    <w:rsid w:val="00BB38C6"/>
    <w:rsid w:val="00C01C74"/>
    <w:rsid w:val="00C96DF2"/>
    <w:rsid w:val="00CD1D45"/>
    <w:rsid w:val="00CE198B"/>
    <w:rsid w:val="00D457EA"/>
    <w:rsid w:val="00DC6A12"/>
    <w:rsid w:val="00DD0DA4"/>
    <w:rsid w:val="00DD3BBE"/>
    <w:rsid w:val="00E26981"/>
    <w:rsid w:val="00E55AF5"/>
    <w:rsid w:val="00E718ED"/>
    <w:rsid w:val="00F26AB1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C192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26555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rvps2">
    <w:name w:val="rvps2"/>
    <w:basedOn w:val="a"/>
    <w:rsid w:val="00414D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46">
    <w:name w:val="rvts46"/>
    <w:basedOn w:val="a0"/>
    <w:rsid w:val="00414DF5"/>
  </w:style>
  <w:style w:type="character" w:styleId="a9">
    <w:name w:val="Hyperlink"/>
    <w:basedOn w:val="a0"/>
    <w:uiPriority w:val="99"/>
    <w:unhideWhenUsed/>
    <w:rsid w:val="00414DF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E22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2291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6E22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229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E229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E2291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E2291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C14A7"/>
    <w:pPr>
      <w:tabs>
        <w:tab w:val="center" w:pos="4513"/>
        <w:tab w:val="right" w:pos="9026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9C14A7"/>
  </w:style>
  <w:style w:type="paragraph" w:styleId="af3">
    <w:name w:val="footer"/>
    <w:basedOn w:val="a"/>
    <w:link w:val="af4"/>
    <w:uiPriority w:val="99"/>
    <w:unhideWhenUsed/>
    <w:rsid w:val="009C14A7"/>
    <w:pPr>
      <w:tabs>
        <w:tab w:val="center" w:pos="4513"/>
        <w:tab w:val="right" w:pos="9026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9C14A7"/>
  </w:style>
  <w:style w:type="character" w:styleId="af5">
    <w:name w:val="page number"/>
    <w:basedOn w:val="a0"/>
    <w:uiPriority w:val="99"/>
    <w:semiHidden/>
    <w:unhideWhenUsed/>
    <w:rsid w:val="009C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67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9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9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0105%20&#1055;&#1088;&#1080;&#1079;&#1085;&#1072;&#1095;&#1077;&#1085;&#1085;&#1103;%20&#1086;&#1076;&#1085;&#1086;&#1088;&#1072;&#1079;&#1086;&#1074;&#1086;&#1111;%20&#1075;&#1088;&#1086;&#1096;&#1086;&#1074;&#1086;&#1111;%20&#1076;&#1086;&#1087;&#1086;&#1084;&#1086;&#1075;&#1080;%20&#1079;&#1072;&#1075;&#1080;&#1073;&#1083;&#1086;&#1075;&#1086;%20&#1074;&#1086;&#1083;&#1086;&#1085;&#1090;&#1077;&#1088;&#107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0105%20&#1055;&#1088;&#1080;&#1079;&#1085;&#1072;&#1095;&#1077;&#1085;&#1085;&#1103;%20&#1086;&#1076;&#1085;&#1086;&#1088;&#1072;&#1079;&#1086;&#1074;&#1086;&#1111;%20&#1075;&#1088;&#1086;&#1096;&#1086;&#1074;&#1086;&#1111;%20&#1076;&#1086;&#1087;&#1086;&#1084;&#1086;&#1075;&#1080;%20&#1079;&#1072;&#1075;&#1080;&#1073;&#1083;&#1086;&#1075;&#1086;%20&#1074;&#1086;&#1083;&#1086;&#1085;&#1090;&#1077;&#1088;&#1072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0105%20&#1055;&#1088;&#1080;&#1079;&#1085;&#1072;&#1095;&#1077;&#1085;&#1085;&#1103;%20&#1086;&#1076;&#1085;&#1086;&#1088;&#1072;&#1079;&#1086;&#1074;&#1086;&#1111;%20&#1075;&#1088;&#1086;&#1096;&#1086;&#1074;&#1086;&#1111;%20&#1076;&#1086;&#1087;&#1086;&#1084;&#1086;&#1075;&#1080;%20&#1079;&#1072;&#1075;&#1080;&#1073;&#1083;&#1086;&#1075;&#1086;%20&#1074;&#1086;&#1083;&#1086;&#1085;&#1090;&#1077;&#1088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wkEb6uodWt0lwvTGm+iuOg8IxA==">AMUW2mUHbYIld4SAQHNO1pNOi7MPC6Kt1YqJxAhBj55MgIWCtVm7IfSN4us7v7YpCmhq0SC7PlaCi5eNK8JPJ9uGAazc5nS0SBv6cs5jfsUfsNbOO/zyuNdBuP3BRFdWSqqoTrH4MvGGg0x+qdg9BEqYKNfVV9YNs4W21D7uHoxFEaniKKAyu6QHL0zssTijufSxllYKBaHG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5AF217-A6D0-4F70-8E0A-5E668E23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6108</Words>
  <Characters>3483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Komp</cp:lastModifiedBy>
  <cp:revision>3</cp:revision>
  <dcterms:created xsi:type="dcterms:W3CDTF">2023-10-12T13:08:00Z</dcterms:created>
  <dcterms:modified xsi:type="dcterms:W3CDTF">2023-11-01T12:37:00Z</dcterms:modified>
</cp:coreProperties>
</file>