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CD60" w14:textId="77777777" w:rsidR="00403BDA" w:rsidRPr="008018A0" w:rsidRDefault="00403BDA" w:rsidP="00403BDA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3D6C99C4" w14:textId="77777777" w:rsidR="00403BDA" w:rsidRPr="008018A0" w:rsidRDefault="00403BDA" w:rsidP="00403BDA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0A53CF65" w14:textId="77777777" w:rsidR="00403BDA" w:rsidRDefault="00403BDA" w:rsidP="00403BD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4C480B57" w14:textId="77777777" w:rsidR="00403BDA" w:rsidRPr="00430397" w:rsidRDefault="00403BDA" w:rsidP="00403BDA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E7E48C" w14:textId="77777777" w:rsidR="00403BDA" w:rsidRPr="00430397" w:rsidRDefault="00403BDA" w:rsidP="00403BD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15377D78" w14:textId="77777777" w:rsidR="00403BDA" w:rsidRDefault="00403BDA" w:rsidP="00403BD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(паю)</w:t>
      </w:r>
    </w:p>
    <w:p w14:paraId="0CD51753" w14:textId="77777777" w:rsidR="00403BDA" w:rsidRPr="00557960" w:rsidRDefault="00403BDA" w:rsidP="00403BD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79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- 00064</w:t>
      </w:r>
    </w:p>
    <w:p w14:paraId="65EC9481" w14:textId="77777777" w:rsidR="00403BDA" w:rsidRPr="00430397" w:rsidRDefault="00403BDA" w:rsidP="00403BD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13"/>
        <w:gridCol w:w="1716"/>
        <w:gridCol w:w="567"/>
        <w:gridCol w:w="2976"/>
      </w:tblGrid>
      <w:tr w:rsidR="00403BDA" w:rsidRPr="00430397" w14:paraId="401E6312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A1266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09E5B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7F7F4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01EE3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DBCB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403BDA" w:rsidRPr="00430397" w14:paraId="12722339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B7D3B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03C83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E65F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BE3D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19BC9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403BDA" w:rsidRPr="00430397" w14:paraId="4C4E2B17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DF3D6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0201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B4FB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F19F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31E4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430397">
              <w:rPr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403BDA" w:rsidRPr="00430397" w14:paraId="3891CE82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7F741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57A05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6B99A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B3417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A4CD0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03BDA" w:rsidRPr="00430397" w14:paraId="1F2297B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AC304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C633C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засобами телекомунікаційного зв’язку з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 xml:space="preserve">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14:paraId="42BDDE91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104921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D23268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E49B3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403BDA" w:rsidRPr="00430397" w14:paraId="59DA96A9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33D6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807F7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14:paraId="15565D42" w14:textId="77777777" w:rsidR="00403BDA" w:rsidRPr="00430397" w:rsidRDefault="00403BDA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1) </w:t>
            </w:r>
            <w:proofErr w:type="spellStart"/>
            <w:r w:rsidRPr="00430397">
              <w:rPr>
                <w:sz w:val="22"/>
                <w:szCs w:val="22"/>
              </w:rPr>
              <w:t>реєстраційний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2D446E3E" w14:textId="77777777" w:rsidR="00403BDA" w:rsidRPr="00430397" w:rsidRDefault="00403BDA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2) дата </w:t>
            </w:r>
            <w:proofErr w:type="spellStart"/>
            <w:r w:rsidRPr="00430397">
              <w:rPr>
                <w:sz w:val="22"/>
                <w:szCs w:val="22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</w:rPr>
              <w:t xml:space="preserve">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3545FC04" w14:textId="77777777" w:rsidR="00403BDA" w:rsidRPr="00430397" w:rsidRDefault="00403BDA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3)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430397">
              <w:rPr>
                <w:sz w:val="22"/>
                <w:szCs w:val="22"/>
              </w:rPr>
              <w:t>звернулася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заявою</w:t>
            </w:r>
            <w:proofErr w:type="spellEnd"/>
            <w:r w:rsidRPr="00430397">
              <w:rPr>
                <w:sz w:val="22"/>
                <w:szCs w:val="22"/>
              </w:rPr>
              <w:t xml:space="preserve"> (запитом);</w:t>
            </w:r>
          </w:p>
          <w:p w14:paraId="58E207D5" w14:textId="77777777" w:rsidR="00403BDA" w:rsidRPr="00430397" w:rsidRDefault="00403BDA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4)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430397">
              <w:rPr>
                <w:sz w:val="22"/>
                <w:szCs w:val="22"/>
              </w:rPr>
              <w:t>реєстратора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який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прийняв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заяву</w:t>
            </w:r>
            <w:proofErr w:type="spellEnd"/>
            <w:r w:rsidRPr="00430397">
              <w:rPr>
                <w:sz w:val="22"/>
                <w:szCs w:val="22"/>
              </w:rPr>
              <w:t xml:space="preserve"> (запит).</w:t>
            </w:r>
          </w:p>
          <w:p w14:paraId="7253632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форми 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>заяви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0854D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6874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FAFDE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3BDA" w:rsidRPr="00430397" w14:paraId="4C6F7F5B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2C86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E1C28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(паю)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  <w:p w14:paraId="7B6B3273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14:paraId="5A7B52C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4410A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FE9C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9877B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3BDA" w:rsidRPr="00430397" w14:paraId="7A7A14DA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5A1B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9091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засвідчення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підпису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власною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печаткою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 а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разі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нада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нн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я 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-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lastRenderedPageBreak/>
              <w:t>посвідчує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його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власним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FD3F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44FC7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15480D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3BDA" w:rsidRPr="00430397" w14:paraId="332A9DD8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7EF265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</w:t>
            </w:r>
            <w:r w:rsidRPr="00430397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25E8A0" w14:textId="77777777" w:rsidR="00403BDA" w:rsidRPr="00430397" w:rsidRDefault="00403BDA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Надсилання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(паю)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або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5A3D75" w14:textId="77777777" w:rsidR="00403BDA" w:rsidRPr="00430397" w:rsidRDefault="00403BDA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F48AB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lang w:val="uk-UA"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7B81AE" w14:textId="77777777" w:rsidR="00403BDA" w:rsidRPr="00430397" w:rsidRDefault="00403BDA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3BDA" w:rsidRPr="00430397" w14:paraId="76A64C2A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632B3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3BE96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37E39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E22C1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81BFB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3BDA" w:rsidRPr="00430397" w14:paraId="3FBF65C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C4DB5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EC090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CE441C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799F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9C676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3BDA" w:rsidRPr="00430397" w14:paraId="123CE0CC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02CA8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DE6B2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наявність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розмір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частки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(паю)</w:t>
            </w: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82750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8EA3A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E7575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403BDA" w:rsidRPr="00430397" w14:paraId="545FC56D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8BD0A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8F4AF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403BDA" w:rsidRPr="00430397" w14:paraId="50733696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25B6FE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A2AA8" w14:textId="77777777" w:rsidR="00403BDA" w:rsidRPr="00430397" w:rsidRDefault="00403BDA" w:rsidP="00791A0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6F02043D" w14:textId="77777777" w:rsidR="00403BDA" w:rsidRPr="00430397" w:rsidRDefault="00403BDA" w:rsidP="00403BD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6979A4" w14:textId="77777777" w:rsidR="00403BDA" w:rsidRPr="00430397" w:rsidRDefault="00403BDA" w:rsidP="00403BD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86C6E8E" w14:textId="77777777" w:rsidR="00403BDA" w:rsidRPr="00430397" w:rsidRDefault="00403BDA" w:rsidP="00403BDA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rPr>
          <w:color w:val="000000"/>
        </w:rPr>
        <w:t>територіального</w:t>
      </w:r>
      <w:proofErr w:type="spellEnd"/>
      <w:r w:rsidRPr="00430397">
        <w:rPr>
          <w:color w:val="000000"/>
        </w:rPr>
        <w:t xml:space="preserve"> органу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 на </w:t>
      </w:r>
      <w:proofErr w:type="spellStart"/>
      <w:r w:rsidRPr="00430397">
        <w:rPr>
          <w:color w:val="000000"/>
        </w:rPr>
        <w:t>території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повноважень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відповідного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, </w:t>
      </w:r>
      <w:r w:rsidRPr="00430397">
        <w:rPr>
          <w:color w:val="000000"/>
          <w:lang w:val="uk-UA"/>
        </w:rPr>
        <w:t xml:space="preserve">а </w:t>
      </w:r>
      <w:r w:rsidRPr="00430397">
        <w:rPr>
          <w:color w:val="000000"/>
        </w:rPr>
        <w:t>та</w:t>
      </w:r>
      <w:proofErr w:type="spellStart"/>
      <w:r w:rsidRPr="00430397">
        <w:rPr>
          <w:color w:val="000000"/>
          <w:lang w:val="uk-UA"/>
        </w:rPr>
        <w:t>кож</w:t>
      </w:r>
      <w:proofErr w:type="spellEnd"/>
      <w:r w:rsidRPr="00430397">
        <w:rPr>
          <w:color w:val="000000"/>
        </w:rPr>
        <w:t xml:space="preserve"> 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52DA1F97" w14:textId="77777777" w:rsidR="00403BDA" w:rsidRPr="00430397" w:rsidRDefault="00403BDA" w:rsidP="00403BDA">
      <w:pPr>
        <w:tabs>
          <w:tab w:val="left" w:pos="5670"/>
        </w:tabs>
        <w:spacing w:after="0" w:line="348" w:lineRule="atLeast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43039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14:paraId="4E71A39A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DA"/>
    <w:rsid w:val="001B410B"/>
    <w:rsid w:val="0040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6522"/>
  <w15:chartTrackingRefBased/>
  <w15:docId w15:val="{F3329E01-0307-47B5-80F0-DA1384AE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BD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2023-11-03T12:41:00Z</dcterms:created>
  <dcterms:modified xsi:type="dcterms:W3CDTF">2023-11-03T12:41:00Z</dcterms:modified>
</cp:coreProperties>
</file>