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29D7" w14:textId="77777777" w:rsidR="008717A0" w:rsidRPr="008717A0" w:rsidRDefault="008717A0" w:rsidP="008717A0">
      <w:pPr>
        <w:shd w:val="clear" w:color="auto" w:fill="FBFBFB"/>
        <w:spacing w:before="225" w:after="150" w:line="240" w:lineRule="auto"/>
        <w:jc w:val="center"/>
        <w:rPr>
          <w:rFonts w:ascii="PT Sans" w:eastAsia="Times New Roman" w:hAnsi="PT Sans" w:cs="Times New Roman"/>
          <w:color w:val="333333"/>
          <w:sz w:val="38"/>
          <w:szCs w:val="38"/>
          <w:lang w:val="ru-RU"/>
        </w:rPr>
      </w:pPr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ru-RU"/>
        </w:rPr>
        <w:t>ІНФОРМАЦІЙНА КАРТКА</w:t>
      </w:r>
    </w:p>
    <w:p w14:paraId="49A2DC7F" w14:textId="77777777" w:rsidR="008717A0" w:rsidRPr="008717A0" w:rsidRDefault="008717A0" w:rsidP="008717A0">
      <w:pPr>
        <w:shd w:val="clear" w:color="auto" w:fill="FBFBFB"/>
        <w:spacing w:before="225" w:after="150" w:line="240" w:lineRule="auto"/>
        <w:jc w:val="center"/>
        <w:rPr>
          <w:rFonts w:ascii="PT Sans" w:eastAsia="Times New Roman" w:hAnsi="PT Sans" w:cs="Times New Roman"/>
          <w:color w:val="333333"/>
          <w:sz w:val="38"/>
          <w:szCs w:val="38"/>
          <w:lang w:val="ru-RU"/>
        </w:rPr>
      </w:pPr>
      <w:proofErr w:type="spellStart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ru-RU"/>
        </w:rPr>
        <w:t>адміністративної</w:t>
      </w:r>
      <w:proofErr w:type="spellEnd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ru-RU"/>
        </w:rPr>
        <w:t xml:space="preserve"> </w:t>
      </w:r>
      <w:proofErr w:type="spellStart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ru-RU"/>
        </w:rPr>
        <w:t>послуги</w:t>
      </w:r>
      <w:proofErr w:type="spellEnd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ru-RU"/>
        </w:rPr>
        <w:t xml:space="preserve"> з</w:t>
      </w:r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> </w:t>
      </w:r>
      <w:proofErr w:type="spellStart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ru-RU"/>
        </w:rPr>
        <w:t>видачі</w:t>
      </w:r>
      <w:proofErr w:type="spellEnd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ru-RU"/>
        </w:rPr>
        <w:t xml:space="preserve"> </w:t>
      </w:r>
      <w:proofErr w:type="spellStart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ru-RU"/>
        </w:rPr>
        <w:t>дубліката</w:t>
      </w:r>
      <w:proofErr w:type="spellEnd"/>
    </w:p>
    <w:p w14:paraId="07F1C13E" w14:textId="77777777" w:rsidR="008717A0" w:rsidRPr="008717A0" w:rsidRDefault="008717A0" w:rsidP="008717A0">
      <w:pPr>
        <w:shd w:val="clear" w:color="auto" w:fill="FBFBFB"/>
        <w:spacing w:before="225" w:after="150" w:line="240" w:lineRule="auto"/>
        <w:jc w:val="center"/>
        <w:rPr>
          <w:rFonts w:ascii="PT Sans" w:eastAsia="Times New Roman" w:hAnsi="PT Sans" w:cs="Times New Roman"/>
          <w:color w:val="333333"/>
          <w:sz w:val="38"/>
          <w:szCs w:val="38"/>
          <w:lang w:val="en-US"/>
        </w:rPr>
      </w:pPr>
      <w:proofErr w:type="spellStart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>дозволу</w:t>
      </w:r>
      <w:proofErr w:type="spellEnd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 xml:space="preserve"> </w:t>
      </w:r>
      <w:proofErr w:type="spellStart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>на</w:t>
      </w:r>
      <w:proofErr w:type="spellEnd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 xml:space="preserve"> </w:t>
      </w:r>
      <w:proofErr w:type="spellStart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>застосування</w:t>
      </w:r>
      <w:proofErr w:type="spellEnd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 xml:space="preserve"> </w:t>
      </w:r>
      <w:proofErr w:type="spellStart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>праці</w:t>
      </w:r>
      <w:proofErr w:type="spellEnd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 xml:space="preserve"> </w:t>
      </w:r>
      <w:proofErr w:type="spellStart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>іноземців</w:t>
      </w:r>
      <w:proofErr w:type="spellEnd"/>
      <w:r w:rsidRPr="008717A0">
        <w:rPr>
          <w:rFonts w:ascii="PT Sans" w:eastAsia="Times New Roman" w:hAnsi="PT Sans" w:cs="Times New Roman"/>
          <w:b/>
          <w:bCs/>
          <w:color w:val="333333"/>
          <w:sz w:val="38"/>
          <w:szCs w:val="38"/>
          <w:lang w:val="en-US"/>
        </w:rPr>
        <w:t> </w:t>
      </w:r>
    </w:p>
    <w:p w14:paraId="608F2E7B" w14:textId="77777777" w:rsidR="008717A0" w:rsidRPr="008717A0" w:rsidRDefault="008717A0" w:rsidP="008717A0">
      <w:pPr>
        <w:shd w:val="clear" w:color="auto" w:fill="FBFBFB"/>
        <w:spacing w:after="0" w:line="240" w:lineRule="auto"/>
        <w:jc w:val="center"/>
        <w:rPr>
          <w:rFonts w:ascii="PT Sans" w:eastAsia="Times New Roman" w:hAnsi="PT Sans" w:cs="Times New Roman"/>
          <w:color w:val="333333"/>
          <w:sz w:val="15"/>
          <w:szCs w:val="15"/>
          <w:lang w:val="en-US"/>
        </w:rPr>
      </w:pPr>
      <w:r w:rsidRPr="008717A0">
        <w:rPr>
          <w:rFonts w:ascii="PT Sans" w:eastAsia="Times New Roman" w:hAnsi="PT Sans" w:cs="Times New Roman"/>
          <w:color w:val="333333"/>
          <w:sz w:val="15"/>
          <w:szCs w:val="15"/>
          <w:lang w:val="en-US"/>
        </w:rPr>
        <w:t> </w:t>
      </w:r>
    </w:p>
    <w:tbl>
      <w:tblPr>
        <w:tblW w:w="109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618"/>
        <w:gridCol w:w="4429"/>
      </w:tblGrid>
      <w:tr w:rsidR="008717A0" w:rsidRPr="008717A0" w14:paraId="71A34B72" w14:textId="77777777" w:rsidTr="008717A0">
        <w:trPr>
          <w:trHeight w:val="435"/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FF6FF0B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Інформація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суб’єкта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</w:tr>
      <w:tr w:rsidR="008717A0" w:rsidRPr="008717A0" w14:paraId="34DB2BFC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0923766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463F596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Місцезнаходження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суб’єкта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9D13171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Одеський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обласний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центр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</w:p>
          <w:p w14:paraId="59628D7F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65007, м. Одеса,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.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Адм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Лазарєва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10</w:t>
            </w:r>
          </w:p>
        </w:tc>
      </w:tr>
      <w:tr w:rsidR="008717A0" w:rsidRPr="008717A0" w14:paraId="3A71ED77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7333D22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2.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3BD3257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Інформація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режиму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роботи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суб’єкта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C413082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–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четвер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8</w:t>
            </w:r>
            <w:r w:rsidRPr="008717A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-17</w:t>
            </w:r>
            <w:r w:rsidRPr="008717A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</w:p>
          <w:p w14:paraId="1BEEE390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8</w:t>
            </w:r>
            <w:r w:rsidRPr="008717A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-15</w:t>
            </w:r>
            <w:r w:rsidRPr="008717A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45</w:t>
            </w:r>
          </w:p>
          <w:p w14:paraId="369CDA5D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Обідня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перерва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12</w:t>
            </w:r>
            <w:r w:rsidRPr="008717A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15</w:t>
            </w: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-13</w:t>
            </w:r>
            <w:r w:rsidRPr="008717A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</w:p>
        </w:tc>
      </w:tr>
      <w:tr w:rsidR="008717A0" w:rsidRPr="008717A0" w14:paraId="593A7D6B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FAFB33D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3.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27C102A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Телефон/факс (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довідки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), адреса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веб-сайт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суб’єкта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C84EF66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Телефон/факс – (048) 705-12-85</w:t>
            </w:r>
          </w:p>
          <w:p w14:paraId="12E11B96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Email</w:t>
            </w: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4" w:history="1"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migr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dcz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</w:p>
          <w:p w14:paraId="60EC02F6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5" w:tgtFrame="_blank" w:history="1"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ode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dcz</w:t>
              </w:r>
              <w:proofErr w:type="spellEnd"/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  <w:r w:rsidRPr="008717A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</w:hyperlink>
          </w:p>
        </w:tc>
      </w:tr>
      <w:tr w:rsidR="008717A0" w:rsidRPr="008717A0" w14:paraId="40ABFCAA" w14:textId="77777777" w:rsidTr="008717A0">
        <w:trPr>
          <w:trHeight w:val="450"/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3EA5AD9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Нормативні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акти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якими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регламентується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</w:tr>
      <w:tr w:rsidR="008717A0" w:rsidRPr="008717A0" w14:paraId="49427FAC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108EAB0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4.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E202F1C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Закон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України</w:t>
            </w:r>
            <w:proofErr w:type="spellEnd"/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3BC48D2" w14:textId="77777777" w:rsidR="008717A0" w:rsidRPr="008717A0" w:rsidRDefault="008717A0" w:rsidP="008717A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Закон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«Про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зайнятість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населення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» (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далі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– Закон)</w:t>
            </w:r>
          </w:p>
        </w:tc>
      </w:tr>
      <w:tr w:rsidR="008717A0" w:rsidRPr="008717A0" w14:paraId="132A69B2" w14:textId="77777777" w:rsidTr="008717A0">
        <w:trPr>
          <w:trHeight w:val="465"/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728CC18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Умови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отримання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послуги</w:t>
            </w:r>
            <w:proofErr w:type="spellEnd"/>
          </w:p>
        </w:tc>
      </w:tr>
      <w:tr w:rsidR="008717A0" w:rsidRPr="008717A0" w14:paraId="29B050E6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D25953F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5DB8BF3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одержання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29498A2" w14:textId="77777777" w:rsidR="008717A0" w:rsidRPr="008717A0" w:rsidRDefault="008717A0" w:rsidP="008717A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дубліката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8717A0" w:rsidRPr="008717A0" w14:paraId="28EEC1BF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C1C5D6C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6.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738D838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Вичерпний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перелік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необхідних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ACBAA0B" w14:textId="77777777" w:rsidR="008717A0" w:rsidRPr="008717A0" w:rsidRDefault="008717A0" w:rsidP="008717A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У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разі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втрати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роботодавець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повідомляє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це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регіональний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центр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який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видав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дозвіл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  <w:p w14:paraId="72474FB2" w14:textId="77777777" w:rsidR="008717A0" w:rsidRPr="008717A0" w:rsidRDefault="008717A0" w:rsidP="008717A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дубліката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довільній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формі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  <w:p w14:paraId="34C9487D" w14:textId="77777777" w:rsidR="008717A0" w:rsidRPr="008717A0" w:rsidRDefault="008717A0" w:rsidP="008717A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У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разі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пошкодження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його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дублікат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видається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умови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відповідної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разом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із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пошкодженим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дозволом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8717A0" w:rsidRPr="008717A0" w14:paraId="6F140A16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A8B8A29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7.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6403591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Спосіб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необхідних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853BA04" w14:textId="77777777" w:rsidR="008717A0" w:rsidRPr="008717A0" w:rsidRDefault="008717A0" w:rsidP="008717A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Роботодавець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подає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дубліката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територіального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органу центрального органу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виконавчої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влади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реалізує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державну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політику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сфері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населення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трудової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міграції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який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видав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такий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дозвіл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8717A0" w:rsidRPr="008717A0" w14:paraId="39735932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ED3D7A3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0048CEA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Платність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безоплатність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)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99EBADB" w14:textId="77777777" w:rsidR="008717A0" w:rsidRPr="008717A0" w:rsidRDefault="008717A0" w:rsidP="008717A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Безоплатно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.</w:t>
            </w:r>
          </w:p>
        </w:tc>
      </w:tr>
      <w:tr w:rsidR="008717A0" w:rsidRPr="008717A0" w14:paraId="6FF596DE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931B3C0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9.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2C98566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Строк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надання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послуги</w:t>
            </w:r>
            <w:proofErr w:type="spellEnd"/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80F59D2" w14:textId="77777777" w:rsidR="008717A0" w:rsidRPr="008717A0" w:rsidRDefault="008717A0" w:rsidP="008717A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Сім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робочих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днів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дня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Одеським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обласним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центром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8717A0" w:rsidRPr="008717A0" w14:paraId="3AAFE275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BA9AAB9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10.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7076095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Результат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надання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адміністративної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послуги</w:t>
            </w:r>
            <w:proofErr w:type="spellEnd"/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1112B1D" w14:textId="77777777" w:rsidR="008717A0" w:rsidRPr="008717A0" w:rsidRDefault="008717A0" w:rsidP="008717A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дубліката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8717A0" w:rsidRPr="008717A0" w14:paraId="0DA7FE69" w14:textId="77777777" w:rsidTr="008717A0">
        <w:trPr>
          <w:jc w:val="center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88F8424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11.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4CD0032" w14:textId="77777777" w:rsidR="008717A0" w:rsidRPr="008717A0" w:rsidRDefault="008717A0" w:rsidP="008717A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Способи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отримання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відповіді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результату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)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78D2A99" w14:textId="77777777" w:rsidR="008717A0" w:rsidRPr="008717A0" w:rsidRDefault="008717A0" w:rsidP="008717A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Рішення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про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видачу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дубліката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дозволу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оформлюється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наказом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регіонального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центра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зайнятості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та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протягом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двох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робочих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днів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з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дня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його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прийняття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розміщується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офіційному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веб-сайті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регіонального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центра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зайнятості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та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повідомляється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роботодавцю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засобами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електронного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зв’язку</w:t>
            </w:r>
            <w:proofErr w:type="spellEnd"/>
            <w:r w:rsidRPr="008717A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.</w:t>
            </w:r>
          </w:p>
        </w:tc>
      </w:tr>
    </w:tbl>
    <w:p w14:paraId="00D7B8EC" w14:textId="77777777" w:rsidR="008717A0" w:rsidRPr="008717A0" w:rsidRDefault="008717A0" w:rsidP="008717A0">
      <w:pPr>
        <w:shd w:val="clear" w:color="auto" w:fill="FBFBFB"/>
        <w:spacing w:before="150" w:after="150" w:line="240" w:lineRule="auto"/>
        <w:jc w:val="both"/>
        <w:outlineLvl w:val="4"/>
        <w:rPr>
          <w:rFonts w:ascii="PT Sans" w:eastAsia="Times New Roman" w:hAnsi="PT Sans" w:cs="Times New Roman"/>
          <w:color w:val="333333"/>
          <w:sz w:val="21"/>
          <w:szCs w:val="21"/>
          <w:lang w:val="en-US"/>
        </w:rPr>
      </w:pPr>
      <w:r w:rsidRPr="008717A0">
        <w:rPr>
          <w:rFonts w:ascii="PT Sans" w:eastAsia="Times New Roman" w:hAnsi="PT Sans" w:cs="Times New Roman"/>
          <w:color w:val="333333"/>
          <w:sz w:val="21"/>
          <w:szCs w:val="21"/>
          <w:lang w:val="en-US"/>
        </w:rPr>
        <w:t> </w:t>
      </w:r>
    </w:p>
    <w:p w14:paraId="40334210" w14:textId="77777777" w:rsidR="001B410B" w:rsidRPr="008717A0" w:rsidRDefault="001B410B">
      <w:pPr>
        <w:rPr>
          <w:lang w:val="en-US"/>
        </w:rPr>
      </w:pPr>
    </w:p>
    <w:sectPr w:rsidR="001B410B" w:rsidRPr="00871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A0"/>
    <w:rsid w:val="001B410B"/>
    <w:rsid w:val="0087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8D87"/>
  <w15:chartTrackingRefBased/>
  <w15:docId w15:val="{DF78C4DE-AE18-4AA2-9C48-FB1A7338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8717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717A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tecenter">
    <w:name w:val="rtecenter"/>
    <w:basedOn w:val="a"/>
    <w:rsid w:val="0087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8717A0"/>
    <w:rPr>
      <w:b/>
      <w:bCs/>
    </w:rPr>
  </w:style>
  <w:style w:type="character" w:styleId="a4">
    <w:name w:val="Hyperlink"/>
    <w:basedOn w:val="a0"/>
    <w:uiPriority w:val="99"/>
    <w:semiHidden/>
    <w:unhideWhenUsed/>
    <w:rsid w:val="00871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de.dcz.gov.ua/" TargetMode="External"/><Relationship Id="rId4" Type="http://schemas.openxmlformats.org/officeDocument/2006/relationships/hyperlink" Target="mailto:migr@od.dc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2024-04-02T06:30:00Z</dcterms:created>
  <dcterms:modified xsi:type="dcterms:W3CDTF">2024-04-02T06:32:00Z</dcterms:modified>
</cp:coreProperties>
</file>