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835"/>
        <w:gridCol w:w="608"/>
        <w:gridCol w:w="1033"/>
        <w:gridCol w:w="2168"/>
        <w:gridCol w:w="864"/>
        <w:gridCol w:w="1349"/>
        <w:gridCol w:w="448"/>
        <w:gridCol w:w="448"/>
        <w:gridCol w:w="513"/>
      </w:tblGrid>
      <w:tr w:rsidR="005B5520">
        <w:trPr>
          <w:trHeight w:hRule="exact" w:val="277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467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</w:tr>
      <w:tr w:rsidR="005B5520">
        <w:trPr>
          <w:trHeight w:hRule="exact" w:val="277"/>
        </w:trPr>
        <w:tc>
          <w:tcPr>
            <w:tcW w:w="10200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</w:tr>
      <w:tr w:rsidR="005B5520">
        <w:trPr>
          <w:trHeight w:hRule="exact" w:val="478"/>
        </w:trPr>
        <w:tc>
          <w:tcPr>
            <w:tcW w:w="10200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C2240C">
            <w:pPr>
              <w:spacing w:after="0" w:line="420" w:lineRule="auto"/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6"/>
                <w:szCs w:val="36"/>
              </w:rPr>
              <w:t>ПОЯСНЮВАЛЬНА ЗАПИСКА</w:t>
            </w:r>
          </w:p>
        </w:tc>
      </w:tr>
      <w:tr w:rsidR="005B5520">
        <w:trPr>
          <w:trHeight w:hRule="exact" w:val="277"/>
        </w:trPr>
        <w:tc>
          <w:tcPr>
            <w:tcW w:w="10200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C2240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2021 рік</w:t>
            </w:r>
          </w:p>
        </w:tc>
      </w:tr>
      <w:tr w:rsidR="005B5520">
        <w:trPr>
          <w:trHeight w:hRule="exact" w:val="277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467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1343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</w:tr>
      <w:tr w:rsidR="005B5520">
        <w:trPr>
          <w:trHeight w:hRule="exact" w:val="277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  <w:tc>
          <w:tcPr>
            <w:tcW w:w="6021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</w:tr>
      <w:tr w:rsidR="005B5520">
        <w:trPr>
          <w:trHeight w:hRule="exact" w:val="261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C2240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4672" w:type="dxa"/>
            <w:gridSpan w:val="4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C2240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Бюджет Іллінецької Міської Територіальної Громади</w:t>
            </w:r>
          </w:p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  <w:tc>
          <w:tcPr>
            <w:tcW w:w="1343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</w:tr>
      <w:tr w:rsidR="005B5520">
        <w:trPr>
          <w:trHeight w:hRule="exact" w:val="246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C2240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річна</w:t>
            </w:r>
            <w:r>
              <w:t xml:space="preserve"> </w:t>
            </w:r>
          </w:p>
        </w:tc>
        <w:tc>
          <w:tcPr>
            <w:tcW w:w="467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</w:tr>
      <w:tr w:rsidR="005B5520">
        <w:trPr>
          <w:trHeight w:hRule="exact" w:val="277"/>
        </w:trPr>
        <w:tc>
          <w:tcPr>
            <w:tcW w:w="2835" w:type="dxa"/>
          </w:tcPr>
          <w:p w:rsidR="005B5520" w:rsidRDefault="005B5520"/>
        </w:tc>
        <w:tc>
          <w:tcPr>
            <w:tcW w:w="608" w:type="dxa"/>
          </w:tcPr>
          <w:p w:rsidR="005B5520" w:rsidRDefault="005B5520"/>
        </w:tc>
        <w:tc>
          <w:tcPr>
            <w:tcW w:w="1033" w:type="dxa"/>
          </w:tcPr>
          <w:p w:rsidR="005B5520" w:rsidRDefault="005B5520"/>
        </w:tc>
        <w:tc>
          <w:tcPr>
            <w:tcW w:w="2168" w:type="dxa"/>
          </w:tcPr>
          <w:p w:rsidR="005B5520" w:rsidRDefault="005B5520"/>
        </w:tc>
        <w:tc>
          <w:tcPr>
            <w:tcW w:w="864" w:type="dxa"/>
          </w:tcPr>
          <w:p w:rsidR="005B5520" w:rsidRDefault="005B5520"/>
        </w:tc>
        <w:tc>
          <w:tcPr>
            <w:tcW w:w="1349" w:type="dxa"/>
          </w:tcPr>
          <w:p w:rsidR="005B5520" w:rsidRDefault="005B5520"/>
        </w:tc>
        <w:tc>
          <w:tcPr>
            <w:tcW w:w="448" w:type="dxa"/>
          </w:tcPr>
          <w:p w:rsidR="005B5520" w:rsidRDefault="005B5520"/>
        </w:tc>
        <w:tc>
          <w:tcPr>
            <w:tcW w:w="448" w:type="dxa"/>
          </w:tcPr>
          <w:p w:rsidR="005B5520" w:rsidRDefault="005B5520"/>
        </w:tc>
        <w:tc>
          <w:tcPr>
            <w:tcW w:w="448" w:type="dxa"/>
          </w:tcPr>
          <w:p w:rsidR="005B5520" w:rsidRDefault="005B5520"/>
        </w:tc>
      </w:tr>
      <w:tr w:rsidR="005B5520">
        <w:trPr>
          <w:trHeight w:hRule="exact" w:val="240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I.ФІНАНСОВА ЗВІТНІСТЬ</w:t>
            </w:r>
          </w:p>
        </w:tc>
      </w:tr>
      <w:tr w:rsidR="005B5520">
        <w:trPr>
          <w:trHeight w:hRule="exact" w:val="240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формі I.ДС (БАЛАНС)  відображено залишки:</w:t>
            </w:r>
          </w:p>
        </w:tc>
      </w:tr>
      <w:tr w:rsidR="005B5520">
        <w:trPr>
          <w:trHeight w:hRule="exact" w:val="465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Рядок 1145 – 7860515,00 грн.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обліковується залишок коштів на реєстраційних та котлових рахунках загального та спеціального фондів  на кінець звітного періоду.</w:t>
            </w:r>
          </w:p>
        </w:tc>
      </w:tr>
      <w:tr w:rsidR="005B5520">
        <w:trPr>
          <w:trHeight w:hRule="exact" w:val="240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1180 - 0,00 грн. залишок коштів, заблокованих на рахунках ліквідованого АПБ «Україна»</w:t>
            </w:r>
          </w:p>
        </w:tc>
      </w:tr>
      <w:tr w:rsidR="005B5520">
        <w:trPr>
          <w:trHeight w:hRule="exact" w:val="240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 розділі 4 «Фінансування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бюджету» звіту про виконання місцевих бюджетів (2ммб):</w:t>
            </w:r>
          </w:p>
        </w:tc>
      </w:tr>
      <w:tr w:rsidR="005B5520">
        <w:trPr>
          <w:trHeight w:hRule="exact" w:val="465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рядку 205100 відображено залишок коштів на реєстраційних рахунках спеціального фонду Іллінецької ТГ на початок року у сумі  167458,33 грн.</w:t>
            </w:r>
          </w:p>
        </w:tc>
      </w:tr>
      <w:tr w:rsidR="005B5520">
        <w:trPr>
          <w:trHeight w:hRule="exact" w:val="465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рядку 208100 відображено залишок коштів на котлових раху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нках загального фонду Іллінецької ТГ на початок року у сумі    4252393,55  грн.</w:t>
            </w:r>
          </w:p>
        </w:tc>
      </w:tr>
      <w:tr w:rsidR="005B5520">
        <w:trPr>
          <w:trHeight w:hRule="exact" w:val="465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рядку 208100 відображено залишок коштів на котлових рахунках спеціального фонду Іллінецької ТГ на початок року у сумі  704894,29 грн.</w:t>
            </w:r>
          </w:p>
        </w:tc>
      </w:tr>
      <w:tr w:rsidR="005B5520">
        <w:trPr>
          <w:trHeight w:hRule="exact" w:val="465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рядку 205340*  відображено отриманий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залишок коштів з реєстраційних рахунків спеціального фонду районного бюджету до бюджету Іллінецької територіальної громади у сумі 77230,15 грн..</w:t>
            </w:r>
          </w:p>
        </w:tc>
      </w:tr>
      <w:tr w:rsidR="005B5520">
        <w:trPr>
          <w:trHeight w:hRule="exact" w:val="1817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Така сума склалася за рахунок перерахованого залишку коштів Бабинської сільської  ради – 41205,62 грн., Іллін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ецької сільської ради – 18146,60 грн., у зв’язку із приєднанням сільських рад до ТГ. Також, у зв’язку з ліквідацією Відділу культури , молоді, спорту та інформації Іллінецької РДА перераховано залишок коштів до Управління культури Іллінецької ТГ на суму 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92,99 грн., у зв’язку з ліквідацією Відділу освіти Іллінецької РДА перераховано залишок коштів до Управління освіти  Іллінецької ТГ на суму 5729,53 грн.,  у зв’язку з ліквідацією «Територіального центру соціального обслуговування Іллінецької районної ради»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перераховано залишок коштів до новоутвореного «Територіального центру соціального обслуговування  Іллінецької міської ради» на суму 10255,41 грн.</w:t>
            </w:r>
          </w:p>
        </w:tc>
      </w:tr>
      <w:tr w:rsidR="005B5520">
        <w:trPr>
          <w:trHeight w:hRule="exact" w:val="916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 рядку 208340* по загальному фонду відображено  перерахований залишок  коштів -26893,45 грн., в тому числі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 Фінансове управління Іллінецької міської ради повернуло до бюджету залишок невикористаних бюджетних коштів іншої субвенції за минулий рік на суму  - 11534,77 грн., а також списали залишок коштів на котловому рахунку по АПБ «Україна» на суму – 15358,68 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рн..</w:t>
            </w:r>
          </w:p>
        </w:tc>
      </w:tr>
      <w:tr w:rsidR="005B5520">
        <w:trPr>
          <w:trHeight w:hRule="exact" w:val="465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рядку 208340* по спеціальному фонду відображено  списаний залишок коштів на котловому рахунку Фінансового управління Іллінецької міської ради по АПБ «Україна» на суму – 7706,73 грн..</w:t>
            </w:r>
          </w:p>
        </w:tc>
      </w:tr>
      <w:tr w:rsidR="005B5520">
        <w:trPr>
          <w:trHeight w:hRule="exact" w:val="690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рядку 602100 по загальному фонду було зменшено розпис на почат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 року у порівнянні із звітами за попередні періоди на суму списаного залишку по АПБ «Україна» на суму – 15358,68 грн., тому відображено суму - 4237034,19 грн..</w:t>
            </w:r>
          </w:p>
        </w:tc>
      </w:tr>
      <w:tr w:rsidR="005B5520">
        <w:trPr>
          <w:trHeight w:hRule="exact" w:val="690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 рядку 602100 по спеціальному фонду було зменшено розпис на початок року у порівнянні із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звітами за попередні періоди на суму списаного залишку по АПБ «Україна» на суму – 7706,73 грн., тому відображено суму – 697187,56 грн..</w:t>
            </w:r>
          </w:p>
        </w:tc>
      </w:tr>
      <w:tr w:rsidR="005B5520">
        <w:trPr>
          <w:trHeight w:hRule="exact" w:val="465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Надходження станом на 01.01.2022 року по загальному фонду склали 231293044,42  грн., по спеціальному фонду надійшло 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60719,64 грн.</w:t>
            </w:r>
          </w:p>
        </w:tc>
      </w:tr>
      <w:tr w:rsidR="005B5520">
        <w:trPr>
          <w:trHeight w:hRule="exact" w:val="465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Касових видатків станом на 01.01.2022  року  проведено по загальному фонду 206417575,24 грн.,   по спеціальному фонду проведено 33343050,09 грн..</w:t>
            </w:r>
          </w:p>
        </w:tc>
      </w:tr>
      <w:tr w:rsidR="005B5520">
        <w:trPr>
          <w:trHeight w:hRule="exact" w:val="240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формі №3 ммб  «Звіт про виконання бюджету розвитку місцевих бюджетів»:</w:t>
            </w:r>
          </w:p>
        </w:tc>
      </w:tr>
      <w:tr w:rsidR="005B5520">
        <w:trPr>
          <w:trHeight w:hRule="exact" w:val="916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 рядку 602100 по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розпису відображено розпис відповідно до залишку вільних коштів віднесених на бюджет розвитку на суму -  299028,32 грн.. Дана сума не відповідає аналогічному показнику у звітах про виконання бюджету розвитку за попередні періоди, оскільки, у попередніх зві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тах у рядку 602100 помилково відображався загальний розпис спеціального фонду, за мінусом розпису по цільових фондах на суму – 666269,29 грн..</w:t>
            </w:r>
          </w:p>
        </w:tc>
      </w:tr>
      <w:tr w:rsidR="005B5520">
        <w:trPr>
          <w:trHeight w:hRule="exact" w:val="240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рядку 602200 відображено залишок котлового рахунка «333» - 227924,07 грн.</w:t>
            </w:r>
          </w:p>
        </w:tc>
      </w:tr>
      <w:tr w:rsidR="005B5520">
        <w:trPr>
          <w:trHeight w:hRule="exact" w:val="240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5B552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5B5520">
        <w:trPr>
          <w:trHeight w:hRule="exact" w:val="465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додатку 9 « Звіт про надання 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використання місцевими бюджетами субвенцій та дотацій, отриманих з державного бюджету» відображено кошти отриманої субвенцій:</w:t>
            </w:r>
          </w:p>
        </w:tc>
      </w:tr>
      <w:tr w:rsidR="005B5520">
        <w:trPr>
          <w:trHeight w:hRule="exact" w:val="240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районного бюджету  по КЕКД 41033000 до бюджету Іллінецької ТГ на  КЕКД 41055000 – 771804,49 грн.</w:t>
            </w:r>
          </w:p>
        </w:tc>
      </w:tr>
      <w:tr w:rsidR="005B5520">
        <w:trPr>
          <w:trHeight w:hRule="exact" w:val="240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районного бюджету  по КЕКД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41035400 до бюджету Іллінецької ТГ на  КЕКД 41051200 – 229273,78 грн.</w:t>
            </w:r>
          </w:p>
        </w:tc>
      </w:tr>
      <w:tr w:rsidR="005B5520">
        <w:trPr>
          <w:trHeight w:hRule="exact" w:val="240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районного бюджету  по КЕКД 41037200 до бюджету Іллінецької ТГ на  КЕКД 41051400  –  921466,60 грн.</w:t>
            </w:r>
          </w:p>
        </w:tc>
      </w:tr>
      <w:tr w:rsidR="005B5520">
        <w:trPr>
          <w:trHeight w:hRule="exact" w:val="465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районного бюджету  по КЕКД 41037300 до бюджету Іллінецької ТГ на  КЕКД 41052600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722311,84,00 грн.</w:t>
            </w:r>
          </w:p>
        </w:tc>
      </w:tr>
      <w:tr w:rsidR="005B5520">
        <w:trPr>
          <w:trHeight w:hRule="exact" w:val="372"/>
        </w:trPr>
        <w:tc>
          <w:tcPr>
            <w:tcW w:w="10206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Протокол помилок у розділі 4 «Фінансування бюджету» звіту про виконання місцевих бюджетів виник на</w:t>
            </w:r>
          </w:p>
        </w:tc>
      </w:tr>
      <w:tr w:rsidR="005B5520">
        <w:trPr>
          <w:trHeight w:hRule="exact" w:val="277"/>
        </w:trPr>
        <w:tc>
          <w:tcPr>
            <w:tcW w:w="344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C2240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202200000032152399</w:t>
            </w:r>
          </w:p>
        </w:tc>
        <w:tc>
          <w:tcPr>
            <w:tcW w:w="103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  <w:tc>
          <w:tcPr>
            <w:tcW w:w="216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C2240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805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  <w:tc>
          <w:tcPr>
            <w:tcW w:w="2758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C2240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2</w:t>
            </w:r>
          </w:p>
        </w:tc>
      </w:tr>
    </w:tbl>
    <w:p w:rsidR="005B5520" w:rsidRDefault="00C2240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28"/>
        <w:gridCol w:w="620"/>
        <w:gridCol w:w="504"/>
        <w:gridCol w:w="870"/>
        <w:gridCol w:w="1031"/>
        <w:gridCol w:w="195"/>
        <w:gridCol w:w="746"/>
        <w:gridCol w:w="473"/>
        <w:gridCol w:w="1255"/>
        <w:gridCol w:w="346"/>
        <w:gridCol w:w="909"/>
        <w:gridCol w:w="280"/>
        <w:gridCol w:w="1370"/>
        <w:gridCol w:w="730"/>
        <w:gridCol w:w="425"/>
      </w:tblGrid>
      <w:tr w:rsidR="005B5520">
        <w:trPr>
          <w:trHeight w:hRule="exact" w:val="69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суму отриманого залишку коштів з котлових рахунків районного бюджету до бюджету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Іллінецької територіальної громади по загальному фонду на суму 913473,07 грн. та до спеціального фонду на суму 81288,82 грн..</w:t>
            </w:r>
          </w:p>
        </w:tc>
      </w:tr>
      <w:tr w:rsidR="005B5520">
        <w:trPr>
          <w:trHeight w:hRule="exact" w:val="916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загальному фонду відображено перерахований залишок  коштів з Іллінецької сільської ради – 80185,71 грн., з Бабинської сільсько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  ради – 340919,83 грн., з Фінансового управління Іллінецької РДА – 486352,10 грн.. Також був перерахований залишок коштів по АПБ «Україна» з Іллінецької сільської ради – 458,23 грн., з Бабинської сільської  ради – 5557,20 грн.</w:t>
            </w:r>
          </w:p>
        </w:tc>
      </w:tr>
      <w:tr w:rsidR="005B5520">
        <w:trPr>
          <w:trHeight w:hRule="exact" w:val="69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спеціальному фонду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відображено перерахований залишок  коштів з Іллінецької сільської ради – 21578,30 грн., з Бабинської сільської  ради – 58455,79 грн.. Також був перерахований залишок коштів по АПБ «Україна» з Іллінецької сільської ради – 132,27 грн., з Бабинської сільської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ради – 1122,46 грн.</w:t>
            </w:r>
          </w:p>
        </w:tc>
      </w:tr>
      <w:tr w:rsidR="005B5520">
        <w:trPr>
          <w:trHeight w:hRule="exact" w:val="69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B5520" w:rsidRDefault="00C224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Протокол помилок у додатку 9 « Звіт про надання та використання місцевими бюджетами субвенцій та дотацій, отриманих з державного бюджету»  виник на суму отриманого залишку субвенцій з котлових рахунків районного бюджету до бюджету Іл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лінецької територіальної громади – 354194,31 грн..</w:t>
            </w:r>
          </w:p>
        </w:tc>
      </w:tr>
      <w:tr w:rsidR="005B5520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</w:tr>
      <w:tr w:rsidR="005B5520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</w:tr>
      <w:tr w:rsidR="005B5520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172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C2240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269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C2240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ЯМКОВА</w:t>
            </w: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</w:tr>
      <w:tr w:rsidR="005B5520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</w:tr>
      <w:tr w:rsidR="005B5520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307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C2240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(керівник ССП)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269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C2240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КРИКУН</w:t>
            </w: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</w:tr>
      <w:tr w:rsidR="005B5520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</w:tr>
      <w:tr w:rsidR="005B5520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307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C2240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21 " січня 2022р.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5520" w:rsidRDefault="005B552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5520" w:rsidRDefault="005B5520"/>
        </w:tc>
      </w:tr>
      <w:tr w:rsidR="005B5520">
        <w:trPr>
          <w:trHeight w:hRule="exact" w:val="9068"/>
        </w:trPr>
        <w:tc>
          <w:tcPr>
            <w:tcW w:w="567" w:type="dxa"/>
          </w:tcPr>
          <w:p w:rsidR="005B5520" w:rsidRDefault="005B5520"/>
        </w:tc>
        <w:tc>
          <w:tcPr>
            <w:tcW w:w="567" w:type="dxa"/>
          </w:tcPr>
          <w:p w:rsidR="005B5520" w:rsidRDefault="005B5520"/>
        </w:tc>
        <w:tc>
          <w:tcPr>
            <w:tcW w:w="425" w:type="dxa"/>
          </w:tcPr>
          <w:p w:rsidR="005B5520" w:rsidRDefault="005B5520"/>
        </w:tc>
        <w:tc>
          <w:tcPr>
            <w:tcW w:w="737" w:type="dxa"/>
          </w:tcPr>
          <w:p w:rsidR="005B5520" w:rsidRDefault="005B5520"/>
        </w:tc>
        <w:tc>
          <w:tcPr>
            <w:tcW w:w="1146" w:type="dxa"/>
          </w:tcPr>
          <w:p w:rsidR="005B5520" w:rsidRDefault="005B5520"/>
        </w:tc>
        <w:tc>
          <w:tcPr>
            <w:tcW w:w="203" w:type="dxa"/>
          </w:tcPr>
          <w:p w:rsidR="005B5520" w:rsidRDefault="005B5520"/>
        </w:tc>
        <w:tc>
          <w:tcPr>
            <w:tcW w:w="830" w:type="dxa"/>
          </w:tcPr>
          <w:p w:rsidR="005B5520" w:rsidRDefault="005B5520"/>
        </w:tc>
        <w:tc>
          <w:tcPr>
            <w:tcW w:w="520" w:type="dxa"/>
          </w:tcPr>
          <w:p w:rsidR="005B5520" w:rsidRDefault="005B5520"/>
        </w:tc>
        <w:tc>
          <w:tcPr>
            <w:tcW w:w="1349" w:type="dxa"/>
          </w:tcPr>
          <w:p w:rsidR="005B5520" w:rsidRDefault="005B5520"/>
        </w:tc>
        <w:tc>
          <w:tcPr>
            <w:tcW w:w="298" w:type="dxa"/>
          </w:tcPr>
          <w:p w:rsidR="005B5520" w:rsidRDefault="005B5520"/>
        </w:tc>
        <w:tc>
          <w:tcPr>
            <w:tcW w:w="805" w:type="dxa"/>
          </w:tcPr>
          <w:p w:rsidR="005B5520" w:rsidRDefault="005B5520"/>
        </w:tc>
        <w:tc>
          <w:tcPr>
            <w:tcW w:w="246" w:type="dxa"/>
          </w:tcPr>
          <w:p w:rsidR="005B5520" w:rsidRDefault="005B5520"/>
        </w:tc>
        <w:tc>
          <w:tcPr>
            <w:tcW w:w="1349" w:type="dxa"/>
          </w:tcPr>
          <w:p w:rsidR="005B5520" w:rsidRDefault="005B5520"/>
        </w:tc>
        <w:tc>
          <w:tcPr>
            <w:tcW w:w="760" w:type="dxa"/>
          </w:tcPr>
          <w:p w:rsidR="005B5520" w:rsidRDefault="005B5520"/>
        </w:tc>
        <w:tc>
          <w:tcPr>
            <w:tcW w:w="403" w:type="dxa"/>
          </w:tcPr>
          <w:p w:rsidR="005B5520" w:rsidRDefault="005B5520"/>
        </w:tc>
      </w:tr>
      <w:tr w:rsidR="005B5520">
        <w:trPr>
          <w:trHeight w:hRule="exact" w:val="1111"/>
        </w:trPr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5B5520" w:rsidRDefault="00C2240C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1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5B5520" w:rsidRDefault="00C2240C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76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5520">
        <w:trPr>
          <w:trHeight w:hRule="exact" w:val="277"/>
        </w:trPr>
        <w:tc>
          <w:tcPr>
            <w:tcW w:w="3442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C2240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202200000032152399</w:t>
            </w:r>
          </w:p>
        </w:tc>
        <w:tc>
          <w:tcPr>
            <w:tcW w:w="103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  <w:tc>
          <w:tcPr>
            <w:tcW w:w="2167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C2240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</w:t>
            </w: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Є-ЗВІТНІСТЬ "</w:t>
            </w:r>
          </w:p>
        </w:tc>
        <w:tc>
          <w:tcPr>
            <w:tcW w:w="805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5B5520"/>
        </w:tc>
        <w:tc>
          <w:tcPr>
            <w:tcW w:w="2758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5520" w:rsidRDefault="00C2240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2</w:t>
            </w:r>
          </w:p>
        </w:tc>
      </w:tr>
    </w:tbl>
    <w:p w:rsidR="005B5520" w:rsidRDefault="005B5520"/>
    <w:sectPr w:rsidR="005B5520" w:rsidSect="005B5520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5B5520"/>
    <w:rsid w:val="00C2240C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Form_52_Note</dc:title>
  <dc:creator>FastReport.NET</dc:creator>
  <cp:lastModifiedBy>0206-GaidamakaA</cp:lastModifiedBy>
  <cp:revision>2</cp:revision>
  <dcterms:created xsi:type="dcterms:W3CDTF">2022-02-01T09:49:00Z</dcterms:created>
  <dcterms:modified xsi:type="dcterms:W3CDTF">2022-02-01T09:49:00Z</dcterms:modified>
</cp:coreProperties>
</file>