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513325" w:rsidRDefault="006039F9" w:rsidP="003F1A85">
      <w:pPr>
        <w:jc w:val="center"/>
        <w:rPr>
          <w:b/>
          <w:bCs/>
        </w:rPr>
      </w:pPr>
      <w:r>
        <w:rPr>
          <w:b/>
          <w:caps/>
          <w:sz w:val="28"/>
          <w:szCs w:val="28"/>
        </w:rPr>
        <w:tab/>
      </w:r>
      <w:r w:rsidR="009634E7">
        <w:rPr>
          <w:b/>
          <w:i/>
          <w:noProof/>
          <w:sz w:val="28"/>
          <w:szCs w:val="28"/>
        </w:rPr>
        <w:drawing>
          <wp:inline distT="0" distB="0" distL="0" distR="0">
            <wp:extent cx="505460" cy="570230"/>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009634E7"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9634E7" w:rsidP="009634E7">
      <w:pPr>
        <w:jc w:val="center"/>
        <w:rPr>
          <w:b/>
          <w:bCs/>
          <w:sz w:val="28"/>
          <w:szCs w:val="28"/>
        </w:rPr>
      </w:pPr>
      <w:proofErr w:type="gramStart"/>
      <w:r>
        <w:rPr>
          <w:b/>
          <w:bCs/>
          <w:sz w:val="28"/>
          <w:szCs w:val="28"/>
          <w:lang w:val="en-US"/>
        </w:rPr>
        <w:t>XX</w:t>
      </w:r>
      <w:r w:rsidR="00F70AA7">
        <w:rPr>
          <w:b/>
          <w:bCs/>
          <w:sz w:val="28"/>
          <w:szCs w:val="28"/>
        </w:rPr>
        <w:t>Х</w:t>
      </w:r>
      <w:r w:rsidR="00FF11FC">
        <w:rPr>
          <w:b/>
          <w:bCs/>
          <w:sz w:val="28"/>
          <w:szCs w:val="28"/>
          <w:lang w:val="en-US"/>
        </w:rPr>
        <w:t>V</w:t>
      </w:r>
      <w:r w:rsidR="006218C5">
        <w:rPr>
          <w:b/>
          <w:bCs/>
          <w:sz w:val="28"/>
          <w:szCs w:val="28"/>
        </w:rPr>
        <w:t>ІІ</w:t>
      </w:r>
      <w:r w:rsidR="00A17BA6">
        <w:rPr>
          <w:b/>
          <w:bCs/>
          <w:sz w:val="28"/>
          <w:szCs w:val="28"/>
        </w:rPr>
        <w:t>І</w:t>
      </w:r>
      <w:r w:rsidR="007B7419">
        <w:rPr>
          <w:b/>
          <w:bCs/>
          <w:sz w:val="28"/>
          <w:szCs w:val="28"/>
        </w:rPr>
        <w:t xml:space="preserve"> </w:t>
      </w:r>
      <w:r>
        <w:rPr>
          <w:b/>
          <w:bCs/>
          <w:sz w:val="28"/>
          <w:szCs w:val="28"/>
        </w:rPr>
        <w:t xml:space="preserve"> </w:t>
      </w:r>
      <w:r w:rsidRPr="00513325">
        <w:rPr>
          <w:b/>
          <w:bCs/>
          <w:sz w:val="28"/>
          <w:szCs w:val="28"/>
        </w:rPr>
        <w:t>СЕСІЯ</w:t>
      </w:r>
      <w:proofErr w:type="gramEnd"/>
      <w:r w:rsidRPr="00513325">
        <w:rPr>
          <w:b/>
          <w:bCs/>
          <w:sz w:val="28"/>
          <w:szCs w:val="28"/>
        </w:rPr>
        <w:t xml:space="preserve">  </w:t>
      </w:r>
      <w:r w:rsidRPr="00403C7D">
        <w:rPr>
          <w:b/>
          <w:bCs/>
          <w:sz w:val="28"/>
          <w:szCs w:val="28"/>
          <w:lang w:val="en-US"/>
        </w:rPr>
        <w:t>V</w:t>
      </w:r>
      <w:r w:rsidRPr="00513325">
        <w:rPr>
          <w:b/>
          <w:bCs/>
          <w:sz w:val="28"/>
          <w:szCs w:val="28"/>
        </w:rPr>
        <w:t>І</w:t>
      </w:r>
      <w:r>
        <w:rPr>
          <w:b/>
          <w:bCs/>
          <w:sz w:val="28"/>
          <w:szCs w:val="28"/>
        </w:rPr>
        <w:t>І</w:t>
      </w:r>
      <w:r w:rsidRPr="00513325">
        <w:rPr>
          <w:b/>
          <w:bCs/>
          <w:sz w:val="28"/>
          <w:szCs w:val="28"/>
        </w:rPr>
        <w:t>І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5463DA" w:rsidRDefault="005463DA" w:rsidP="009634E7">
      <w:pPr>
        <w:spacing w:after="240"/>
        <w:rPr>
          <w:sz w:val="28"/>
          <w:szCs w:val="28"/>
        </w:rPr>
      </w:pPr>
    </w:p>
    <w:p w:rsidR="00720A5C" w:rsidRPr="009B159A" w:rsidRDefault="009634E7" w:rsidP="009634E7">
      <w:pPr>
        <w:spacing w:after="240"/>
        <w:rPr>
          <w:sz w:val="24"/>
          <w:szCs w:val="24"/>
        </w:rPr>
      </w:pPr>
      <w:r>
        <w:rPr>
          <w:sz w:val="28"/>
          <w:szCs w:val="28"/>
        </w:rPr>
        <w:t xml:space="preserve">від </w:t>
      </w:r>
      <w:r w:rsidR="00F735D9">
        <w:rPr>
          <w:sz w:val="28"/>
          <w:szCs w:val="28"/>
        </w:rPr>
        <w:t>2</w:t>
      </w:r>
      <w:r w:rsidR="006218C5">
        <w:rPr>
          <w:sz w:val="28"/>
          <w:szCs w:val="28"/>
        </w:rPr>
        <w:t>1 лютого</w:t>
      </w:r>
      <w:r w:rsidR="00A17BA6">
        <w:rPr>
          <w:sz w:val="28"/>
          <w:szCs w:val="28"/>
        </w:rPr>
        <w:t xml:space="preserve"> </w:t>
      </w:r>
      <w:r>
        <w:rPr>
          <w:sz w:val="28"/>
          <w:szCs w:val="28"/>
        </w:rPr>
        <w:t xml:space="preserve"> 202</w:t>
      </w:r>
      <w:r w:rsidR="006218C5">
        <w:rPr>
          <w:sz w:val="28"/>
          <w:szCs w:val="28"/>
        </w:rPr>
        <w:t>4</w:t>
      </w:r>
      <w:r w:rsidR="009B159A">
        <w:rPr>
          <w:sz w:val="28"/>
          <w:szCs w:val="28"/>
        </w:rPr>
        <w:t xml:space="preserve"> року    </w:t>
      </w:r>
      <w:r w:rsidR="009B159A">
        <w:rPr>
          <w:sz w:val="28"/>
          <w:szCs w:val="28"/>
        </w:rPr>
        <w:tab/>
      </w:r>
      <w:r w:rsidR="009B159A">
        <w:rPr>
          <w:sz w:val="28"/>
          <w:szCs w:val="28"/>
        </w:rPr>
        <w:tab/>
      </w:r>
      <w:r w:rsidR="009B159A">
        <w:rPr>
          <w:sz w:val="28"/>
          <w:szCs w:val="28"/>
        </w:rPr>
        <w:tab/>
      </w:r>
      <w:r>
        <w:rPr>
          <w:sz w:val="28"/>
          <w:szCs w:val="28"/>
        </w:rPr>
        <w:t xml:space="preserve">№ </w:t>
      </w:r>
      <w:r w:rsidR="0090459D">
        <w:rPr>
          <w:sz w:val="28"/>
          <w:szCs w:val="28"/>
        </w:rPr>
        <w:t>1</w:t>
      </w:r>
      <w:r w:rsidR="00366515">
        <w:rPr>
          <w:sz w:val="28"/>
          <w:szCs w:val="28"/>
        </w:rPr>
        <w:t>8</w:t>
      </w:r>
      <w:r w:rsidR="009B159A" w:rsidRPr="009B159A">
        <w:rPr>
          <w:sz w:val="28"/>
          <w:szCs w:val="28"/>
          <w:lang w:val="ru-RU"/>
        </w:rPr>
        <w:tab/>
      </w:r>
      <w:r w:rsidR="009B159A" w:rsidRPr="009B159A">
        <w:rPr>
          <w:sz w:val="28"/>
          <w:szCs w:val="28"/>
          <w:lang w:val="ru-RU"/>
        </w:rPr>
        <w:tab/>
      </w:r>
      <w:r w:rsidR="009B159A" w:rsidRPr="009B159A">
        <w:rPr>
          <w:sz w:val="28"/>
          <w:szCs w:val="28"/>
          <w:lang w:val="ru-RU"/>
        </w:rPr>
        <w:tab/>
      </w:r>
      <w:r w:rsidR="009B159A" w:rsidRPr="009B159A">
        <w:rPr>
          <w:sz w:val="28"/>
          <w:szCs w:val="28"/>
          <w:lang w:val="ru-RU"/>
        </w:rPr>
        <w:tab/>
      </w:r>
      <w:proofErr w:type="spellStart"/>
      <w:r w:rsidR="009B159A">
        <w:rPr>
          <w:sz w:val="28"/>
          <w:szCs w:val="28"/>
        </w:rPr>
        <w:t>м.Радехів</w:t>
      </w:r>
      <w:proofErr w:type="spellEnd"/>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720A5C" w:rsidRDefault="00720A5C" w:rsidP="00720A5C">
      <w:pPr>
        <w:shd w:val="clear" w:color="auto" w:fill="FFFFFF"/>
        <w:ind w:right="-2" w:firstLine="993"/>
        <w:jc w:val="both"/>
        <w:rPr>
          <w:sz w:val="28"/>
          <w:szCs w:val="28"/>
        </w:rPr>
      </w:pP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Pr="00317978"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720A5C" w:rsidRPr="002A7F3F" w:rsidRDefault="00720A5C" w:rsidP="00064529">
      <w:pPr>
        <w:ind w:left="-142" w:right="-2" w:firstLine="709"/>
        <w:jc w:val="both"/>
        <w:rPr>
          <w:sz w:val="28"/>
          <w:szCs w:val="28"/>
        </w:rPr>
      </w:pPr>
    </w:p>
    <w:p w:rsidR="00CC5006" w:rsidRDefault="00CC5006" w:rsidP="00CC5006">
      <w:pPr>
        <w:pStyle w:val="af5"/>
        <w:numPr>
          <w:ilvl w:val="0"/>
          <w:numId w:val="8"/>
        </w:numPr>
        <w:spacing w:before="0" w:beforeAutospacing="0" w:after="40" w:afterAutospacing="0"/>
        <w:ind w:left="0" w:right="-1" w:firstLine="851"/>
        <w:jc w:val="both"/>
        <w:rPr>
          <w:sz w:val="28"/>
          <w:szCs w:val="28"/>
        </w:rPr>
      </w:pPr>
      <w:r w:rsidRPr="00372D8B">
        <w:rPr>
          <w:sz w:val="28"/>
          <w:szCs w:val="28"/>
        </w:rPr>
        <w:t xml:space="preserve">Внести зміни до </w:t>
      </w:r>
      <w:r w:rsidR="006218C5" w:rsidRPr="006218C5">
        <w:rPr>
          <w:b/>
          <w:sz w:val="28"/>
          <w:szCs w:val="28"/>
        </w:rPr>
        <w:t>Програм</w:t>
      </w:r>
      <w:r w:rsidR="006218C5">
        <w:rPr>
          <w:b/>
          <w:sz w:val="28"/>
          <w:szCs w:val="28"/>
        </w:rPr>
        <w:t>и</w:t>
      </w:r>
      <w:r w:rsidR="006218C5" w:rsidRPr="006218C5">
        <w:rPr>
          <w:b/>
          <w:sz w:val="28"/>
          <w:szCs w:val="28"/>
        </w:rPr>
        <w:t xml:space="preserve"> підтримки підрозділів територіальної оборони та Збройних Сил України на 2024-2025 роки</w:t>
      </w:r>
      <w:r>
        <w:rPr>
          <w:b/>
          <w:sz w:val="28"/>
          <w:szCs w:val="28"/>
        </w:rPr>
        <w:t xml:space="preserve"> (далі Програма</w:t>
      </w:r>
      <w:r w:rsidR="007D7959">
        <w:rPr>
          <w:b/>
          <w:sz w:val="28"/>
          <w:szCs w:val="28"/>
        </w:rPr>
        <w:t xml:space="preserve"> 1</w:t>
      </w:r>
      <w:r>
        <w:rPr>
          <w:b/>
          <w:sz w:val="28"/>
          <w:szCs w:val="28"/>
        </w:rPr>
        <w:t>)</w:t>
      </w:r>
      <w:r w:rsidRPr="00372D8B">
        <w:rPr>
          <w:sz w:val="28"/>
          <w:szCs w:val="28"/>
        </w:rPr>
        <w:t xml:space="preserve">, затвердженої рішенням сесії </w:t>
      </w:r>
      <w:proofErr w:type="spellStart"/>
      <w:r w:rsidRPr="00372D8B">
        <w:rPr>
          <w:sz w:val="28"/>
          <w:szCs w:val="28"/>
        </w:rPr>
        <w:t>Радехівської</w:t>
      </w:r>
      <w:proofErr w:type="spellEnd"/>
      <w:r w:rsidRPr="00372D8B">
        <w:rPr>
          <w:sz w:val="28"/>
          <w:szCs w:val="28"/>
        </w:rPr>
        <w:t xml:space="preserve"> міської ради </w:t>
      </w:r>
      <w:r w:rsidR="006218C5">
        <w:rPr>
          <w:sz w:val="28"/>
          <w:szCs w:val="28"/>
        </w:rPr>
        <w:t>15</w:t>
      </w:r>
      <w:r w:rsidRPr="00372D8B">
        <w:rPr>
          <w:sz w:val="28"/>
          <w:szCs w:val="28"/>
        </w:rPr>
        <w:t>.12.202</w:t>
      </w:r>
      <w:r w:rsidR="006218C5">
        <w:rPr>
          <w:sz w:val="28"/>
          <w:szCs w:val="28"/>
        </w:rPr>
        <w:t>3</w:t>
      </w:r>
      <w:r w:rsidRPr="00372D8B">
        <w:rPr>
          <w:sz w:val="28"/>
          <w:szCs w:val="28"/>
        </w:rPr>
        <w:t xml:space="preserve"> року № </w:t>
      </w:r>
      <w:r w:rsidR="006218C5">
        <w:rPr>
          <w:sz w:val="28"/>
          <w:szCs w:val="28"/>
        </w:rPr>
        <w:t>8</w:t>
      </w:r>
      <w:r w:rsidR="008B7DDC">
        <w:rPr>
          <w:sz w:val="28"/>
          <w:szCs w:val="28"/>
        </w:rPr>
        <w:t>:</w:t>
      </w:r>
      <w:r>
        <w:rPr>
          <w:sz w:val="28"/>
          <w:szCs w:val="28"/>
        </w:rPr>
        <w:t xml:space="preserve"> </w:t>
      </w:r>
    </w:p>
    <w:p w:rsidR="006218C5" w:rsidRDefault="00CC5006" w:rsidP="00A828D6">
      <w:pPr>
        <w:pStyle w:val="af1"/>
        <w:numPr>
          <w:ilvl w:val="1"/>
          <w:numId w:val="8"/>
        </w:numPr>
        <w:ind w:left="0" w:firstLine="851"/>
        <w:jc w:val="both"/>
        <w:rPr>
          <w:sz w:val="28"/>
          <w:szCs w:val="28"/>
        </w:rPr>
      </w:pPr>
      <w:r w:rsidRPr="004C2B83">
        <w:rPr>
          <w:sz w:val="28"/>
          <w:szCs w:val="28"/>
        </w:rPr>
        <w:t xml:space="preserve">У додатку </w:t>
      </w:r>
      <w:r w:rsidR="006218C5" w:rsidRPr="004C2B83">
        <w:rPr>
          <w:sz w:val="28"/>
          <w:szCs w:val="28"/>
        </w:rPr>
        <w:t xml:space="preserve">1 </w:t>
      </w:r>
      <w:r w:rsidRPr="004C2B83">
        <w:rPr>
          <w:sz w:val="28"/>
          <w:szCs w:val="28"/>
        </w:rPr>
        <w:t xml:space="preserve">до Програми </w:t>
      </w:r>
      <w:r w:rsidR="007D7959" w:rsidRPr="004C2B83">
        <w:rPr>
          <w:sz w:val="28"/>
          <w:szCs w:val="28"/>
        </w:rPr>
        <w:t>1</w:t>
      </w:r>
      <w:r w:rsidR="006218C5" w:rsidRPr="004C2B83">
        <w:rPr>
          <w:b/>
          <w:sz w:val="28"/>
          <w:szCs w:val="28"/>
        </w:rPr>
        <w:t xml:space="preserve"> </w:t>
      </w:r>
      <w:r w:rsidR="004C2B83" w:rsidRPr="004C2B83">
        <w:rPr>
          <w:b/>
          <w:sz w:val="28"/>
          <w:szCs w:val="28"/>
        </w:rPr>
        <w:t>«</w:t>
      </w:r>
      <w:r w:rsidR="006218C5" w:rsidRPr="004C2B83">
        <w:rPr>
          <w:sz w:val="28"/>
          <w:szCs w:val="28"/>
        </w:rPr>
        <w:t>Ресурсне забезпечення Програми підтримки підрозділів територіальної оборони  та Збройних сил України  на 2024-2025 рік</w:t>
      </w:r>
      <w:r w:rsidR="004C2B83" w:rsidRPr="004C2B83">
        <w:rPr>
          <w:sz w:val="28"/>
          <w:szCs w:val="28"/>
        </w:rPr>
        <w:t>» цифри «10 000 000,00» замінити на цифри «20 000 000,00».</w:t>
      </w:r>
    </w:p>
    <w:p w:rsidR="004C2B83" w:rsidRPr="008B7DDC" w:rsidRDefault="004C2B83" w:rsidP="00A828D6">
      <w:pPr>
        <w:pStyle w:val="af1"/>
        <w:numPr>
          <w:ilvl w:val="1"/>
          <w:numId w:val="8"/>
        </w:numPr>
        <w:ind w:left="0" w:firstLine="851"/>
        <w:jc w:val="both"/>
        <w:rPr>
          <w:sz w:val="28"/>
          <w:szCs w:val="28"/>
        </w:rPr>
      </w:pPr>
      <w:r w:rsidRPr="00A828D6">
        <w:rPr>
          <w:sz w:val="28"/>
          <w:szCs w:val="28"/>
        </w:rPr>
        <w:t>У додатку 2 до Програми 1</w:t>
      </w:r>
      <w:r w:rsidRPr="00A828D6">
        <w:rPr>
          <w:b/>
          <w:sz w:val="28"/>
          <w:szCs w:val="28"/>
        </w:rPr>
        <w:t xml:space="preserve"> </w:t>
      </w:r>
      <w:r w:rsidRPr="00A828D6">
        <w:rPr>
          <w:sz w:val="28"/>
          <w:szCs w:val="28"/>
        </w:rPr>
        <w:t xml:space="preserve">«ПЕРЕЛІК завдань, заходів та показників Програми підтримки підрозділів територіальної оборони та Збройних сил України  на 2024-2025 роки» у </w:t>
      </w:r>
      <w:r w:rsidR="008B7DDC">
        <w:rPr>
          <w:sz w:val="28"/>
          <w:szCs w:val="28"/>
        </w:rPr>
        <w:t xml:space="preserve">четвертій </w:t>
      </w:r>
      <w:r w:rsidRPr="00A828D6">
        <w:rPr>
          <w:sz w:val="28"/>
          <w:szCs w:val="28"/>
        </w:rPr>
        <w:t xml:space="preserve">стрічці </w:t>
      </w:r>
      <w:r w:rsidR="008B7DDC">
        <w:rPr>
          <w:sz w:val="28"/>
          <w:szCs w:val="28"/>
        </w:rPr>
        <w:t>«</w:t>
      </w:r>
      <w:r w:rsidR="008B7DDC" w:rsidRPr="008B7DDC">
        <w:rPr>
          <w:b/>
          <w:sz w:val="28"/>
          <w:szCs w:val="28"/>
        </w:rPr>
        <w:t>Захід 2.</w:t>
      </w:r>
      <w:r w:rsidR="008B7DDC">
        <w:rPr>
          <w:sz w:val="28"/>
          <w:szCs w:val="28"/>
        </w:rPr>
        <w:t xml:space="preserve"> </w:t>
      </w:r>
      <w:r w:rsidRPr="00A828D6">
        <w:rPr>
          <w:sz w:val="28"/>
          <w:szCs w:val="28"/>
        </w:rPr>
        <w:t xml:space="preserve">Покращення матеріально-технічного забезпечення підрозділів територіальної оборони та військових частин Збройних сил України (зміцнення матеріально-технічної бази військових частин, шляхом надання міжбюджетних трансфертів та придбання </w:t>
      </w:r>
      <w:proofErr w:type="spellStart"/>
      <w:r w:rsidRPr="00A828D6">
        <w:rPr>
          <w:sz w:val="28"/>
          <w:szCs w:val="28"/>
        </w:rPr>
        <w:t>тепловізійного</w:t>
      </w:r>
      <w:proofErr w:type="spellEnd"/>
      <w:r w:rsidRPr="00A828D6">
        <w:rPr>
          <w:sz w:val="28"/>
          <w:szCs w:val="28"/>
        </w:rPr>
        <w:t xml:space="preserve"> прицілу, теплові зорів, </w:t>
      </w:r>
      <w:proofErr w:type="spellStart"/>
      <w:r w:rsidRPr="00A828D6">
        <w:rPr>
          <w:sz w:val="28"/>
          <w:szCs w:val="28"/>
        </w:rPr>
        <w:t>квадрокоптерів</w:t>
      </w:r>
      <w:proofErr w:type="spellEnd"/>
      <w:r w:rsidRPr="00A828D6">
        <w:rPr>
          <w:sz w:val="28"/>
          <w:szCs w:val="28"/>
        </w:rPr>
        <w:t xml:space="preserve"> та ін. обладнання)» у шостому стовбці </w:t>
      </w:r>
      <w:r w:rsidR="00A828D6" w:rsidRPr="00A828D6">
        <w:rPr>
          <w:b/>
          <w:sz w:val="28"/>
          <w:szCs w:val="28"/>
        </w:rPr>
        <w:t>«</w:t>
      </w:r>
      <w:r w:rsidRPr="00A828D6">
        <w:rPr>
          <w:b/>
          <w:sz w:val="28"/>
          <w:szCs w:val="28"/>
        </w:rPr>
        <w:t xml:space="preserve">обсяги, </w:t>
      </w:r>
      <w:proofErr w:type="spellStart"/>
      <w:r w:rsidRPr="00A828D6">
        <w:rPr>
          <w:b/>
          <w:sz w:val="28"/>
          <w:szCs w:val="28"/>
        </w:rPr>
        <w:t>тис.грн</w:t>
      </w:r>
      <w:proofErr w:type="spellEnd"/>
      <w:r w:rsidRPr="00A828D6">
        <w:rPr>
          <w:b/>
          <w:sz w:val="28"/>
          <w:szCs w:val="28"/>
        </w:rPr>
        <w:t>.</w:t>
      </w:r>
      <w:r w:rsidR="00A828D6" w:rsidRPr="00A828D6">
        <w:rPr>
          <w:b/>
          <w:sz w:val="28"/>
          <w:szCs w:val="28"/>
        </w:rPr>
        <w:t>»</w:t>
      </w:r>
      <w:r w:rsidRPr="00A828D6">
        <w:rPr>
          <w:b/>
          <w:sz w:val="28"/>
          <w:szCs w:val="28"/>
        </w:rPr>
        <w:t xml:space="preserve"> </w:t>
      </w:r>
      <w:r w:rsidR="00A828D6" w:rsidRPr="008B7DDC">
        <w:rPr>
          <w:sz w:val="28"/>
          <w:szCs w:val="28"/>
        </w:rPr>
        <w:t xml:space="preserve">цифри </w:t>
      </w:r>
      <w:r w:rsidRPr="008B7DDC">
        <w:rPr>
          <w:sz w:val="28"/>
          <w:szCs w:val="28"/>
        </w:rPr>
        <w:t xml:space="preserve"> </w:t>
      </w:r>
      <w:r w:rsidR="00A828D6" w:rsidRPr="008B7DDC">
        <w:rPr>
          <w:sz w:val="28"/>
          <w:szCs w:val="28"/>
        </w:rPr>
        <w:t xml:space="preserve"> </w:t>
      </w:r>
      <w:r w:rsidR="00A828D6">
        <w:rPr>
          <w:sz w:val="28"/>
          <w:szCs w:val="28"/>
        </w:rPr>
        <w:t xml:space="preserve">    </w:t>
      </w:r>
      <w:r w:rsidR="00A828D6" w:rsidRPr="00A828D6">
        <w:rPr>
          <w:b/>
          <w:sz w:val="28"/>
          <w:szCs w:val="28"/>
        </w:rPr>
        <w:t>«8 800 000,00»</w:t>
      </w:r>
      <w:r w:rsidR="00A828D6">
        <w:rPr>
          <w:sz w:val="28"/>
          <w:szCs w:val="28"/>
        </w:rPr>
        <w:t xml:space="preserve">  замінити на цифри </w:t>
      </w:r>
      <w:r w:rsidR="00A828D6" w:rsidRPr="008B7DDC">
        <w:rPr>
          <w:b/>
          <w:sz w:val="28"/>
          <w:szCs w:val="28"/>
        </w:rPr>
        <w:t>«18 800 000,00»</w:t>
      </w:r>
      <w:r w:rsidR="008B7DDC">
        <w:rPr>
          <w:b/>
          <w:sz w:val="28"/>
          <w:szCs w:val="28"/>
        </w:rPr>
        <w:t>.</w:t>
      </w:r>
    </w:p>
    <w:p w:rsidR="008B7DDC" w:rsidRPr="008B7DDC" w:rsidRDefault="008B7DDC" w:rsidP="008B7DDC">
      <w:pPr>
        <w:pStyle w:val="af1"/>
        <w:numPr>
          <w:ilvl w:val="1"/>
          <w:numId w:val="8"/>
        </w:numPr>
        <w:ind w:left="0" w:firstLine="851"/>
        <w:jc w:val="both"/>
        <w:rPr>
          <w:sz w:val="28"/>
          <w:szCs w:val="28"/>
        </w:rPr>
      </w:pPr>
      <w:r w:rsidRPr="008B7DDC">
        <w:rPr>
          <w:sz w:val="28"/>
          <w:szCs w:val="28"/>
        </w:rPr>
        <w:t xml:space="preserve">У Паспорті Програми 1 у розділі 8 «Загальний обсяг фінансових ресурсів, необхідних для реалізації  Програми на 2024 рік </w:t>
      </w:r>
      <w:r w:rsidRPr="004C2B83">
        <w:rPr>
          <w:sz w:val="28"/>
          <w:szCs w:val="28"/>
        </w:rPr>
        <w:t>цифри «10 000 000,00» замінити на цифри «20 000 000,00».</w:t>
      </w:r>
    </w:p>
    <w:p w:rsidR="007175BA" w:rsidRDefault="007D7959" w:rsidP="00A17BA6">
      <w:pPr>
        <w:ind w:right="141" w:firstLine="851"/>
        <w:jc w:val="both"/>
        <w:rPr>
          <w:sz w:val="28"/>
          <w:szCs w:val="28"/>
        </w:rPr>
      </w:pPr>
      <w:r>
        <w:rPr>
          <w:sz w:val="28"/>
          <w:szCs w:val="28"/>
        </w:rPr>
        <w:t xml:space="preserve">2. Внести зміни </w:t>
      </w:r>
      <w:r w:rsidR="007175BA">
        <w:rPr>
          <w:sz w:val="28"/>
          <w:szCs w:val="28"/>
        </w:rPr>
        <w:t xml:space="preserve"> до </w:t>
      </w:r>
      <w:r w:rsidR="00A13A71" w:rsidRPr="00A13A71">
        <w:rPr>
          <w:b/>
          <w:sz w:val="28"/>
          <w:szCs w:val="28"/>
        </w:rPr>
        <w:t xml:space="preserve">Програми </w:t>
      </w:r>
      <w:r w:rsidR="00A13A71" w:rsidRPr="00A13A71">
        <w:rPr>
          <w:rStyle w:val="FontStyle16"/>
          <w:b/>
          <w:sz w:val="28"/>
          <w:szCs w:val="28"/>
        </w:rPr>
        <w:t xml:space="preserve">Питна вода на території </w:t>
      </w:r>
      <w:proofErr w:type="spellStart"/>
      <w:r w:rsidR="00A13A71" w:rsidRPr="00A13A71">
        <w:rPr>
          <w:rStyle w:val="FontStyle16"/>
          <w:b/>
          <w:sz w:val="28"/>
          <w:szCs w:val="28"/>
        </w:rPr>
        <w:t>Радехівської</w:t>
      </w:r>
      <w:proofErr w:type="spellEnd"/>
      <w:r w:rsidR="00A13A71" w:rsidRPr="00A13A71">
        <w:rPr>
          <w:rStyle w:val="FontStyle16"/>
          <w:b/>
          <w:sz w:val="28"/>
          <w:szCs w:val="28"/>
        </w:rPr>
        <w:t xml:space="preserve"> міської територіальної громади на 2023-2025 роки</w:t>
      </w:r>
      <w:r w:rsidR="00A13A71" w:rsidRPr="00A13A71">
        <w:rPr>
          <w:b/>
          <w:sz w:val="28"/>
          <w:szCs w:val="28"/>
        </w:rPr>
        <w:t xml:space="preserve"> (далі Програма </w:t>
      </w:r>
      <w:r w:rsidR="00A13A71">
        <w:rPr>
          <w:b/>
          <w:sz w:val="28"/>
          <w:szCs w:val="28"/>
        </w:rPr>
        <w:t>2</w:t>
      </w:r>
      <w:r w:rsidR="00A13A71" w:rsidRPr="00A13A71">
        <w:rPr>
          <w:b/>
          <w:sz w:val="28"/>
          <w:szCs w:val="28"/>
        </w:rPr>
        <w:t>)</w:t>
      </w:r>
      <w:r w:rsidR="00A13A71" w:rsidRPr="002A7F3F">
        <w:rPr>
          <w:sz w:val="28"/>
          <w:szCs w:val="28"/>
        </w:rPr>
        <w:t xml:space="preserve">, затвердженої рішенням сесії </w:t>
      </w:r>
      <w:proofErr w:type="spellStart"/>
      <w:r w:rsidR="00A13A71" w:rsidRPr="002A7F3F">
        <w:rPr>
          <w:sz w:val="28"/>
          <w:szCs w:val="28"/>
        </w:rPr>
        <w:t>Радехівської</w:t>
      </w:r>
      <w:proofErr w:type="spellEnd"/>
      <w:r w:rsidR="00A13A71" w:rsidRPr="002A7F3F">
        <w:rPr>
          <w:sz w:val="28"/>
          <w:szCs w:val="28"/>
        </w:rPr>
        <w:t xml:space="preserve"> місь</w:t>
      </w:r>
      <w:r w:rsidR="00A13A71">
        <w:rPr>
          <w:sz w:val="28"/>
          <w:szCs w:val="28"/>
        </w:rPr>
        <w:t>кої ради від 29.03.202</w:t>
      </w:r>
      <w:r w:rsidR="009A60A1">
        <w:rPr>
          <w:sz w:val="28"/>
          <w:szCs w:val="28"/>
        </w:rPr>
        <w:t>3</w:t>
      </w:r>
      <w:r w:rsidR="00A13A71">
        <w:rPr>
          <w:sz w:val="28"/>
          <w:szCs w:val="28"/>
        </w:rPr>
        <w:t xml:space="preserve"> року № 5</w:t>
      </w:r>
      <w:r w:rsidR="009076B1">
        <w:rPr>
          <w:sz w:val="28"/>
          <w:szCs w:val="28"/>
        </w:rPr>
        <w:t xml:space="preserve"> </w:t>
      </w:r>
      <w:r w:rsidR="00A13A71">
        <w:rPr>
          <w:sz w:val="28"/>
          <w:szCs w:val="28"/>
        </w:rPr>
        <w:t>із змінами згідно рішення сесії від 10 травня 2023 року № 7 «</w:t>
      </w:r>
      <w:r w:rsidR="002B2F17">
        <w:rPr>
          <w:sz w:val="28"/>
          <w:szCs w:val="28"/>
        </w:rPr>
        <w:t>П</w:t>
      </w:r>
      <w:r w:rsidR="00A13A71">
        <w:rPr>
          <w:sz w:val="28"/>
          <w:szCs w:val="28"/>
        </w:rPr>
        <w:t>ро внесення змін до місцевих програм»</w:t>
      </w:r>
      <w:r>
        <w:rPr>
          <w:sz w:val="28"/>
          <w:szCs w:val="28"/>
        </w:rPr>
        <w:t>.</w:t>
      </w:r>
    </w:p>
    <w:p w:rsidR="002B2F17" w:rsidRPr="00CC5006" w:rsidRDefault="007D7959" w:rsidP="007D7959">
      <w:pPr>
        <w:shd w:val="clear" w:color="auto" w:fill="FFFFFF"/>
        <w:spacing w:line="322" w:lineRule="exact"/>
        <w:ind w:firstLine="851"/>
        <w:jc w:val="both"/>
        <w:rPr>
          <w:sz w:val="28"/>
          <w:szCs w:val="28"/>
        </w:rPr>
      </w:pPr>
      <w:r>
        <w:rPr>
          <w:sz w:val="28"/>
          <w:szCs w:val="28"/>
        </w:rPr>
        <w:t xml:space="preserve">2.1. </w:t>
      </w:r>
      <w:r w:rsidR="002B2F17">
        <w:rPr>
          <w:sz w:val="28"/>
          <w:szCs w:val="28"/>
        </w:rPr>
        <w:t xml:space="preserve">У </w:t>
      </w:r>
      <w:r>
        <w:rPr>
          <w:sz w:val="28"/>
          <w:szCs w:val="28"/>
        </w:rPr>
        <w:t>Додатк</w:t>
      </w:r>
      <w:r w:rsidR="002B2F17">
        <w:rPr>
          <w:sz w:val="28"/>
          <w:szCs w:val="28"/>
        </w:rPr>
        <w:t>у</w:t>
      </w:r>
      <w:r>
        <w:rPr>
          <w:sz w:val="28"/>
          <w:szCs w:val="28"/>
        </w:rPr>
        <w:t xml:space="preserve"> 2 до</w:t>
      </w:r>
      <w:r w:rsidRPr="00CC5006">
        <w:rPr>
          <w:sz w:val="28"/>
          <w:szCs w:val="28"/>
        </w:rPr>
        <w:t xml:space="preserve"> </w:t>
      </w:r>
      <w:r w:rsidRPr="008D5083">
        <w:rPr>
          <w:b/>
          <w:sz w:val="28"/>
          <w:szCs w:val="28"/>
        </w:rPr>
        <w:t xml:space="preserve">Програми </w:t>
      </w:r>
      <w:r w:rsidR="002B2F17" w:rsidRPr="008D5083">
        <w:rPr>
          <w:b/>
          <w:sz w:val="28"/>
          <w:szCs w:val="28"/>
        </w:rPr>
        <w:t>2</w:t>
      </w:r>
      <w:r w:rsidR="002B2F17">
        <w:rPr>
          <w:sz w:val="28"/>
          <w:szCs w:val="28"/>
        </w:rPr>
        <w:t xml:space="preserve"> </w:t>
      </w:r>
      <w:r w:rsidR="002B2F17" w:rsidRPr="002266A3">
        <w:rPr>
          <w:bCs/>
          <w:sz w:val="28"/>
          <w:szCs w:val="28"/>
        </w:rPr>
        <w:t>«</w:t>
      </w:r>
      <w:r w:rsidR="002B2F17">
        <w:rPr>
          <w:bCs/>
          <w:sz w:val="28"/>
          <w:szCs w:val="28"/>
        </w:rPr>
        <w:t xml:space="preserve">Напрями діяльності та заходи </w:t>
      </w:r>
      <w:r w:rsidR="002B2F17" w:rsidRPr="002266A3">
        <w:rPr>
          <w:bCs/>
          <w:color w:val="000000"/>
          <w:sz w:val="28"/>
          <w:szCs w:val="28"/>
        </w:rPr>
        <w:t xml:space="preserve">Програми «Питна вода на території </w:t>
      </w:r>
      <w:proofErr w:type="spellStart"/>
      <w:r w:rsidR="002B2F17" w:rsidRPr="002266A3">
        <w:rPr>
          <w:bCs/>
          <w:color w:val="000000"/>
          <w:sz w:val="28"/>
          <w:szCs w:val="28"/>
        </w:rPr>
        <w:t>Радехівської</w:t>
      </w:r>
      <w:proofErr w:type="spellEnd"/>
      <w:r w:rsidR="002B2F17" w:rsidRPr="002266A3">
        <w:rPr>
          <w:bCs/>
          <w:color w:val="000000"/>
          <w:sz w:val="28"/>
          <w:szCs w:val="28"/>
        </w:rPr>
        <w:t xml:space="preserve"> міської територіальної громади на 2023 </w:t>
      </w:r>
      <w:r w:rsidR="002B2F17" w:rsidRPr="002266A3">
        <w:rPr>
          <w:bCs/>
          <w:i/>
          <w:iCs/>
          <w:color w:val="000000"/>
          <w:sz w:val="28"/>
          <w:szCs w:val="28"/>
        </w:rPr>
        <w:t>– </w:t>
      </w:r>
      <w:r w:rsidR="002B2F17" w:rsidRPr="002266A3">
        <w:rPr>
          <w:bCs/>
          <w:color w:val="000000"/>
          <w:sz w:val="28"/>
          <w:szCs w:val="28"/>
        </w:rPr>
        <w:t>2025 роки»</w:t>
      </w:r>
      <w:r w:rsidR="002B2F17">
        <w:rPr>
          <w:bCs/>
          <w:color w:val="000000"/>
          <w:sz w:val="28"/>
          <w:szCs w:val="28"/>
        </w:rPr>
        <w:t xml:space="preserve"> </w:t>
      </w:r>
      <w:r w:rsidR="009076B1">
        <w:rPr>
          <w:bCs/>
          <w:color w:val="000000"/>
          <w:sz w:val="28"/>
          <w:szCs w:val="28"/>
        </w:rPr>
        <w:t xml:space="preserve">показники у </w:t>
      </w:r>
      <w:r w:rsidR="002B2F17">
        <w:rPr>
          <w:bCs/>
          <w:color w:val="000000"/>
          <w:sz w:val="28"/>
          <w:szCs w:val="28"/>
        </w:rPr>
        <w:t>пункт</w:t>
      </w:r>
      <w:r w:rsidR="009076B1">
        <w:rPr>
          <w:bCs/>
          <w:color w:val="000000"/>
          <w:sz w:val="28"/>
          <w:szCs w:val="28"/>
        </w:rPr>
        <w:t xml:space="preserve">і </w:t>
      </w:r>
      <w:r w:rsidR="002B2F17">
        <w:rPr>
          <w:bCs/>
          <w:color w:val="000000"/>
          <w:sz w:val="28"/>
          <w:szCs w:val="28"/>
        </w:rPr>
        <w:t>11</w:t>
      </w:r>
      <w:r w:rsidR="009076B1">
        <w:rPr>
          <w:bCs/>
          <w:color w:val="000000"/>
          <w:sz w:val="28"/>
          <w:szCs w:val="28"/>
        </w:rPr>
        <w:t xml:space="preserve"> викласти в новій редакції</w:t>
      </w:r>
      <w:r w:rsidR="002B2F17">
        <w:rPr>
          <w:bCs/>
          <w:color w:val="000000"/>
          <w:sz w:val="28"/>
          <w:szCs w:val="28"/>
        </w:rPr>
        <w:t xml:space="preserve"> </w:t>
      </w:r>
      <w:r w:rsidR="00996F82">
        <w:rPr>
          <w:bCs/>
          <w:color w:val="000000"/>
          <w:sz w:val="28"/>
          <w:szCs w:val="28"/>
        </w:rPr>
        <w:t xml:space="preserve">, доповнити заходи Програми </w:t>
      </w:r>
      <w:r w:rsidR="00996F82">
        <w:rPr>
          <w:bCs/>
          <w:color w:val="000000"/>
          <w:sz w:val="28"/>
          <w:szCs w:val="28"/>
        </w:rPr>
        <w:lastRenderedPageBreak/>
        <w:t>2 пунктом 12 та показники у стрічці «Всього» викласти в новій редакції наступного змісту згідно таблиці</w:t>
      </w:r>
      <w:r w:rsidR="009076B1">
        <w:rPr>
          <w:bCs/>
          <w:color w:val="000000"/>
          <w:sz w:val="28"/>
          <w:szCs w:val="28"/>
        </w:rPr>
        <w:t>:</w:t>
      </w:r>
    </w:p>
    <w:tbl>
      <w:tblPr>
        <w:tblW w:w="11059" w:type="dxa"/>
        <w:tblInd w:w="-366" w:type="dxa"/>
        <w:tblLayout w:type="fixed"/>
        <w:tblCellMar>
          <w:left w:w="0" w:type="dxa"/>
          <w:right w:w="0" w:type="dxa"/>
        </w:tblCellMar>
        <w:tblLook w:val="04A0"/>
      </w:tblPr>
      <w:tblGrid>
        <w:gridCol w:w="388"/>
        <w:gridCol w:w="1090"/>
        <w:gridCol w:w="1783"/>
        <w:gridCol w:w="850"/>
        <w:gridCol w:w="1275"/>
        <w:gridCol w:w="1277"/>
        <w:gridCol w:w="851"/>
        <w:gridCol w:w="850"/>
        <w:gridCol w:w="850"/>
        <w:gridCol w:w="1845"/>
      </w:tblGrid>
      <w:tr w:rsidR="002B2F17" w:rsidRPr="00C10092" w:rsidTr="005C5F76">
        <w:trPr>
          <w:trHeight w:val="1027"/>
        </w:trPr>
        <w:tc>
          <w:tcPr>
            <w:tcW w:w="388" w:type="dxa"/>
            <w:vMerge w:val="restart"/>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2B2F17" w:rsidRPr="00C10092" w:rsidRDefault="002B2F17" w:rsidP="00C654C4">
            <w:pPr>
              <w:jc w:val="both"/>
              <w:rPr>
                <w:color w:val="212529"/>
                <w:szCs w:val="24"/>
              </w:rPr>
            </w:pPr>
          </w:p>
        </w:tc>
        <w:tc>
          <w:tcPr>
            <w:tcW w:w="1090" w:type="dxa"/>
            <w:vMerge w:val="restart"/>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2B2F17" w:rsidRPr="003A1F62" w:rsidRDefault="002B2F17" w:rsidP="009076B1">
            <w:pPr>
              <w:spacing w:line="288" w:lineRule="atLeast"/>
              <w:jc w:val="center"/>
              <w:textAlignment w:val="baseline"/>
              <w:rPr>
                <w:bdr w:val="none" w:sz="0" w:space="0" w:color="auto" w:frame="1"/>
              </w:rPr>
            </w:pPr>
            <w:r w:rsidRPr="001B67EE">
              <w:rPr>
                <w:b/>
                <w:color w:val="000000"/>
                <w:szCs w:val="24"/>
              </w:rPr>
              <w:t>Найменування напряму діяльності (пріоритетні завдання)</w:t>
            </w:r>
          </w:p>
        </w:tc>
        <w:tc>
          <w:tcPr>
            <w:tcW w:w="1783" w:type="dxa"/>
            <w:vMerge w:val="restart"/>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9076B1" w:rsidRDefault="009076B1" w:rsidP="009076B1">
            <w:pPr>
              <w:jc w:val="center"/>
              <w:rPr>
                <w:b/>
                <w:color w:val="000000"/>
                <w:szCs w:val="24"/>
              </w:rPr>
            </w:pPr>
          </w:p>
          <w:p w:rsidR="009076B1" w:rsidRDefault="009076B1" w:rsidP="009076B1">
            <w:pPr>
              <w:jc w:val="center"/>
              <w:rPr>
                <w:b/>
                <w:color w:val="000000"/>
                <w:szCs w:val="24"/>
              </w:rPr>
            </w:pPr>
          </w:p>
          <w:p w:rsidR="009076B1" w:rsidRDefault="009076B1" w:rsidP="009076B1">
            <w:pPr>
              <w:jc w:val="center"/>
              <w:rPr>
                <w:b/>
                <w:color w:val="000000"/>
                <w:szCs w:val="24"/>
              </w:rPr>
            </w:pPr>
          </w:p>
          <w:p w:rsidR="002B2F17" w:rsidRDefault="002B2F17" w:rsidP="009076B1">
            <w:pPr>
              <w:jc w:val="center"/>
            </w:pPr>
            <w:r w:rsidRPr="001B67EE">
              <w:rPr>
                <w:b/>
                <w:color w:val="000000"/>
                <w:szCs w:val="24"/>
              </w:rPr>
              <w:t>Перелік заходів Програми</w:t>
            </w:r>
          </w:p>
        </w:tc>
        <w:tc>
          <w:tcPr>
            <w:tcW w:w="850" w:type="dxa"/>
            <w:vMerge w:val="restart"/>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9076B1" w:rsidRDefault="009076B1" w:rsidP="009076B1">
            <w:pPr>
              <w:jc w:val="center"/>
              <w:rPr>
                <w:b/>
                <w:color w:val="000000"/>
                <w:szCs w:val="24"/>
              </w:rPr>
            </w:pPr>
          </w:p>
          <w:p w:rsidR="009076B1" w:rsidRDefault="009076B1" w:rsidP="009076B1">
            <w:pPr>
              <w:jc w:val="center"/>
              <w:rPr>
                <w:b/>
                <w:color w:val="000000"/>
                <w:szCs w:val="24"/>
              </w:rPr>
            </w:pPr>
          </w:p>
          <w:p w:rsidR="002B2F17" w:rsidRPr="00C10092" w:rsidRDefault="002B2F17" w:rsidP="009076B1">
            <w:pPr>
              <w:jc w:val="center"/>
              <w:rPr>
                <w:color w:val="212529"/>
                <w:szCs w:val="24"/>
              </w:rPr>
            </w:pPr>
            <w:r w:rsidRPr="001B67EE">
              <w:rPr>
                <w:b/>
                <w:color w:val="000000"/>
                <w:szCs w:val="24"/>
              </w:rPr>
              <w:t>Строк виконання заходу</w:t>
            </w:r>
            <w:r w:rsidR="009076B1">
              <w:rPr>
                <w:b/>
                <w:color w:val="000000"/>
                <w:szCs w:val="24"/>
              </w:rPr>
              <w:t xml:space="preserve">, </w:t>
            </w:r>
            <w:r w:rsidRPr="001B67EE">
              <w:rPr>
                <w:b/>
                <w:color w:val="000000"/>
                <w:szCs w:val="24"/>
              </w:rPr>
              <w:t xml:space="preserve"> рік</w:t>
            </w:r>
          </w:p>
        </w:tc>
        <w:tc>
          <w:tcPr>
            <w:tcW w:w="1275" w:type="dxa"/>
            <w:vMerge w:val="restart"/>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2B2F17" w:rsidRDefault="002B2F17" w:rsidP="009076B1">
            <w:pPr>
              <w:jc w:val="center"/>
              <w:rPr>
                <w:b/>
                <w:color w:val="000000"/>
                <w:szCs w:val="24"/>
              </w:rPr>
            </w:pPr>
          </w:p>
          <w:p w:rsidR="002B2F17" w:rsidRDefault="002B2F17" w:rsidP="009076B1">
            <w:pPr>
              <w:jc w:val="center"/>
              <w:rPr>
                <w:b/>
                <w:color w:val="000000"/>
                <w:szCs w:val="24"/>
              </w:rPr>
            </w:pPr>
          </w:p>
          <w:p w:rsidR="002B2F17" w:rsidRDefault="002B2F17" w:rsidP="009076B1">
            <w:pPr>
              <w:jc w:val="center"/>
              <w:rPr>
                <w:b/>
                <w:color w:val="000000"/>
                <w:szCs w:val="24"/>
              </w:rPr>
            </w:pPr>
          </w:p>
          <w:p w:rsidR="002B2F17" w:rsidRPr="00C10092" w:rsidRDefault="002B2F17" w:rsidP="009076B1">
            <w:pPr>
              <w:jc w:val="center"/>
              <w:rPr>
                <w:color w:val="212529"/>
                <w:szCs w:val="24"/>
              </w:rPr>
            </w:pPr>
            <w:r w:rsidRPr="001B67EE">
              <w:rPr>
                <w:b/>
                <w:color w:val="000000"/>
                <w:szCs w:val="24"/>
              </w:rPr>
              <w:t>Виконавці</w:t>
            </w:r>
          </w:p>
        </w:tc>
        <w:tc>
          <w:tcPr>
            <w:tcW w:w="1277" w:type="dxa"/>
            <w:vMerge w:val="restart"/>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2B2F17" w:rsidRDefault="002B2F17" w:rsidP="002B2F17">
            <w:pPr>
              <w:spacing w:after="120" w:line="288" w:lineRule="atLeast"/>
              <w:ind w:firstLine="38"/>
              <w:jc w:val="center"/>
              <w:textAlignment w:val="baseline"/>
              <w:rPr>
                <w:b/>
                <w:color w:val="000000"/>
                <w:szCs w:val="24"/>
              </w:rPr>
            </w:pPr>
          </w:p>
          <w:p w:rsidR="002B2F17" w:rsidRDefault="002B2F17" w:rsidP="002B2F17">
            <w:pPr>
              <w:spacing w:after="120" w:line="288" w:lineRule="atLeast"/>
              <w:ind w:firstLine="38"/>
              <w:jc w:val="center"/>
              <w:textAlignment w:val="baseline"/>
              <w:rPr>
                <w:b/>
                <w:color w:val="000000"/>
                <w:szCs w:val="24"/>
              </w:rPr>
            </w:pPr>
          </w:p>
          <w:p w:rsidR="002B2F17" w:rsidRPr="001B67EE" w:rsidRDefault="002B2F17" w:rsidP="002B2F17">
            <w:pPr>
              <w:spacing w:after="120" w:line="288" w:lineRule="atLeast"/>
              <w:ind w:firstLine="38"/>
              <w:jc w:val="center"/>
              <w:textAlignment w:val="baseline"/>
              <w:rPr>
                <w:b/>
                <w:color w:val="000000"/>
                <w:szCs w:val="24"/>
              </w:rPr>
            </w:pPr>
            <w:r w:rsidRPr="001B67EE">
              <w:rPr>
                <w:b/>
                <w:color w:val="000000"/>
                <w:szCs w:val="24"/>
              </w:rPr>
              <w:t>Джерела фінансування</w:t>
            </w:r>
          </w:p>
          <w:p w:rsidR="002B2F17" w:rsidRDefault="002B2F17" w:rsidP="00C654C4">
            <w:pPr>
              <w:spacing w:line="288" w:lineRule="atLeast"/>
              <w:jc w:val="center"/>
              <w:textAlignment w:val="baseline"/>
              <w:rPr>
                <w:color w:val="000000"/>
                <w:szCs w:val="24"/>
              </w:rPr>
            </w:pPr>
          </w:p>
        </w:tc>
        <w:tc>
          <w:tcPr>
            <w:tcW w:w="2551" w:type="dxa"/>
            <w:gridSpan w:val="3"/>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2B2F17" w:rsidRPr="00C10092" w:rsidRDefault="002B2F17" w:rsidP="002B2F17">
            <w:pPr>
              <w:spacing w:line="288" w:lineRule="atLeast"/>
              <w:jc w:val="center"/>
              <w:textAlignment w:val="baseline"/>
              <w:rPr>
                <w:color w:val="000000"/>
                <w:szCs w:val="24"/>
              </w:rPr>
            </w:pPr>
            <w:r w:rsidRPr="001B67EE">
              <w:rPr>
                <w:b/>
                <w:color w:val="000000"/>
                <w:szCs w:val="24"/>
              </w:rPr>
              <w:t>Орієнтовні обсяги фінансування (вартість), тис. гривень, у тому числі</w:t>
            </w:r>
          </w:p>
        </w:tc>
        <w:tc>
          <w:tcPr>
            <w:tcW w:w="1845" w:type="dxa"/>
            <w:vMerge w:val="restart"/>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2B2F17" w:rsidRDefault="002B2F17" w:rsidP="002B2F17">
            <w:pPr>
              <w:jc w:val="center"/>
              <w:rPr>
                <w:b/>
                <w:color w:val="000000"/>
                <w:szCs w:val="24"/>
              </w:rPr>
            </w:pPr>
          </w:p>
          <w:p w:rsidR="002B2F17" w:rsidRDefault="002B2F17" w:rsidP="002B2F17">
            <w:pPr>
              <w:jc w:val="center"/>
              <w:rPr>
                <w:b/>
                <w:color w:val="000000"/>
                <w:szCs w:val="24"/>
              </w:rPr>
            </w:pPr>
          </w:p>
          <w:p w:rsidR="002B2F17" w:rsidRDefault="002B2F17" w:rsidP="002B2F17">
            <w:pPr>
              <w:jc w:val="center"/>
              <w:rPr>
                <w:b/>
                <w:color w:val="000000"/>
                <w:szCs w:val="24"/>
              </w:rPr>
            </w:pPr>
          </w:p>
          <w:p w:rsidR="002B2F17" w:rsidRDefault="002B2F17" w:rsidP="002B2F17">
            <w:pPr>
              <w:jc w:val="center"/>
              <w:rPr>
                <w:bdr w:val="none" w:sz="0" w:space="0" w:color="auto" w:frame="1"/>
              </w:rPr>
            </w:pPr>
            <w:r w:rsidRPr="001B67EE">
              <w:rPr>
                <w:b/>
                <w:color w:val="000000"/>
                <w:szCs w:val="24"/>
              </w:rPr>
              <w:t>Очікуваний результат</w:t>
            </w:r>
          </w:p>
        </w:tc>
      </w:tr>
      <w:tr w:rsidR="002B2F17" w:rsidRPr="00C10092" w:rsidTr="00996F82">
        <w:trPr>
          <w:trHeight w:val="343"/>
        </w:trPr>
        <w:tc>
          <w:tcPr>
            <w:tcW w:w="388" w:type="dxa"/>
            <w:vMerge/>
            <w:tcBorders>
              <w:top w:val="single" w:sz="4" w:space="0" w:color="auto"/>
              <w:left w:val="single" w:sz="4" w:space="0" w:color="auto"/>
              <w:bottom w:val="outset" w:sz="6" w:space="0" w:color="auto"/>
              <w:right w:val="outset" w:sz="6" w:space="0" w:color="auto"/>
            </w:tcBorders>
            <w:tcMar>
              <w:top w:w="180" w:type="dxa"/>
              <w:left w:w="60" w:type="dxa"/>
              <w:bottom w:w="180" w:type="dxa"/>
              <w:right w:w="60" w:type="dxa"/>
            </w:tcMar>
            <w:hideMark/>
          </w:tcPr>
          <w:p w:rsidR="002B2F17" w:rsidRPr="00C10092" w:rsidRDefault="002B2F17" w:rsidP="00C654C4">
            <w:pPr>
              <w:jc w:val="both"/>
              <w:rPr>
                <w:color w:val="212529"/>
                <w:szCs w:val="24"/>
              </w:rPr>
            </w:pPr>
          </w:p>
        </w:tc>
        <w:tc>
          <w:tcPr>
            <w:tcW w:w="1090" w:type="dxa"/>
            <w:vMerge/>
            <w:tcBorders>
              <w:top w:val="single" w:sz="4"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Pr="003A1F62" w:rsidRDefault="002B2F17" w:rsidP="00C654C4">
            <w:pPr>
              <w:spacing w:line="288" w:lineRule="atLeast"/>
              <w:jc w:val="both"/>
              <w:textAlignment w:val="baseline"/>
              <w:rPr>
                <w:bdr w:val="none" w:sz="0" w:space="0" w:color="auto" w:frame="1"/>
              </w:rPr>
            </w:pPr>
          </w:p>
        </w:tc>
        <w:tc>
          <w:tcPr>
            <w:tcW w:w="1783" w:type="dxa"/>
            <w:vMerge/>
            <w:tcBorders>
              <w:top w:val="single" w:sz="4"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Default="002B2F17" w:rsidP="00C654C4">
            <w:pPr>
              <w:jc w:val="both"/>
            </w:pPr>
          </w:p>
        </w:tc>
        <w:tc>
          <w:tcPr>
            <w:tcW w:w="850" w:type="dxa"/>
            <w:vMerge/>
            <w:tcBorders>
              <w:top w:val="single" w:sz="4"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Pr="00C10092" w:rsidRDefault="002B2F17" w:rsidP="00C654C4">
            <w:pPr>
              <w:rPr>
                <w:color w:val="212529"/>
                <w:szCs w:val="24"/>
              </w:rPr>
            </w:pPr>
          </w:p>
        </w:tc>
        <w:tc>
          <w:tcPr>
            <w:tcW w:w="1275" w:type="dxa"/>
            <w:vMerge/>
            <w:tcBorders>
              <w:top w:val="single" w:sz="4"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Pr="00C10092" w:rsidRDefault="002B2F17" w:rsidP="00C654C4">
            <w:pPr>
              <w:jc w:val="both"/>
              <w:rPr>
                <w:color w:val="212529"/>
                <w:szCs w:val="24"/>
              </w:rPr>
            </w:pPr>
          </w:p>
        </w:tc>
        <w:tc>
          <w:tcPr>
            <w:tcW w:w="1277" w:type="dxa"/>
            <w:vMerge/>
            <w:tcBorders>
              <w:top w:val="single" w:sz="4"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Default="002B2F17" w:rsidP="00C654C4">
            <w:pPr>
              <w:spacing w:line="288" w:lineRule="atLeast"/>
              <w:jc w:val="center"/>
              <w:textAlignment w:val="baseline"/>
              <w:rPr>
                <w:color w:val="000000"/>
                <w:szCs w:val="24"/>
              </w:rPr>
            </w:pPr>
          </w:p>
        </w:tc>
        <w:tc>
          <w:tcPr>
            <w:tcW w:w="851" w:type="dxa"/>
            <w:tcBorders>
              <w:top w:val="single" w:sz="4"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Pr="009076B1" w:rsidRDefault="002B2F17" w:rsidP="009076B1">
            <w:pPr>
              <w:spacing w:line="288" w:lineRule="atLeast"/>
              <w:jc w:val="center"/>
              <w:textAlignment w:val="baseline"/>
              <w:rPr>
                <w:b/>
                <w:color w:val="000000"/>
                <w:szCs w:val="24"/>
              </w:rPr>
            </w:pPr>
            <w:r w:rsidRPr="009076B1">
              <w:rPr>
                <w:b/>
                <w:color w:val="000000"/>
                <w:szCs w:val="24"/>
              </w:rPr>
              <w:t>2023 рік</w:t>
            </w:r>
          </w:p>
        </w:tc>
        <w:tc>
          <w:tcPr>
            <w:tcW w:w="850" w:type="dxa"/>
            <w:tcBorders>
              <w:top w:val="single" w:sz="4"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Pr="009076B1" w:rsidRDefault="002B2F17" w:rsidP="009076B1">
            <w:pPr>
              <w:spacing w:line="288" w:lineRule="atLeast"/>
              <w:jc w:val="center"/>
              <w:textAlignment w:val="baseline"/>
              <w:rPr>
                <w:b/>
                <w:color w:val="000000"/>
                <w:szCs w:val="24"/>
              </w:rPr>
            </w:pPr>
            <w:r w:rsidRPr="009076B1">
              <w:rPr>
                <w:b/>
                <w:color w:val="000000"/>
                <w:szCs w:val="24"/>
              </w:rPr>
              <w:t>2024 рік</w:t>
            </w:r>
          </w:p>
        </w:tc>
        <w:tc>
          <w:tcPr>
            <w:tcW w:w="850" w:type="dxa"/>
            <w:tcBorders>
              <w:top w:val="single" w:sz="4" w:space="0" w:color="auto"/>
              <w:left w:val="outset" w:sz="6" w:space="0" w:color="auto"/>
              <w:bottom w:val="outset" w:sz="6" w:space="0" w:color="auto"/>
              <w:right w:val="single" w:sz="4" w:space="0" w:color="auto"/>
            </w:tcBorders>
            <w:tcMar>
              <w:top w:w="180" w:type="dxa"/>
              <w:left w:w="60" w:type="dxa"/>
              <w:bottom w:w="180" w:type="dxa"/>
              <w:right w:w="60" w:type="dxa"/>
            </w:tcMar>
            <w:hideMark/>
          </w:tcPr>
          <w:p w:rsidR="002B2F17" w:rsidRPr="009076B1" w:rsidRDefault="002B2F17" w:rsidP="009076B1">
            <w:pPr>
              <w:spacing w:line="288" w:lineRule="atLeast"/>
              <w:jc w:val="center"/>
              <w:textAlignment w:val="baseline"/>
              <w:rPr>
                <w:b/>
                <w:color w:val="000000"/>
                <w:szCs w:val="24"/>
              </w:rPr>
            </w:pPr>
            <w:r w:rsidRPr="009076B1">
              <w:rPr>
                <w:b/>
                <w:color w:val="000000"/>
                <w:szCs w:val="24"/>
              </w:rPr>
              <w:t>2025 рік</w:t>
            </w:r>
          </w:p>
        </w:tc>
        <w:tc>
          <w:tcPr>
            <w:tcW w:w="1845" w:type="dxa"/>
            <w:vMerge/>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2B2F17" w:rsidRDefault="002B2F17" w:rsidP="00C654C4">
            <w:pPr>
              <w:jc w:val="both"/>
              <w:rPr>
                <w:bdr w:val="none" w:sz="0" w:space="0" w:color="auto" w:frame="1"/>
              </w:rPr>
            </w:pPr>
          </w:p>
        </w:tc>
      </w:tr>
      <w:tr w:rsidR="002B2F17" w:rsidRPr="00C10092" w:rsidTr="00996F82">
        <w:trPr>
          <w:trHeight w:val="1246"/>
        </w:trPr>
        <w:tc>
          <w:tcPr>
            <w:tcW w:w="388" w:type="dxa"/>
            <w:tcBorders>
              <w:top w:val="outset" w:sz="6" w:space="0" w:color="auto"/>
              <w:left w:val="single" w:sz="4" w:space="0" w:color="auto"/>
              <w:bottom w:val="outset" w:sz="6" w:space="0" w:color="auto"/>
              <w:right w:val="outset" w:sz="6" w:space="0" w:color="auto"/>
            </w:tcBorders>
            <w:tcMar>
              <w:top w:w="180" w:type="dxa"/>
              <w:left w:w="60" w:type="dxa"/>
              <w:bottom w:w="180" w:type="dxa"/>
              <w:right w:w="60" w:type="dxa"/>
            </w:tcMar>
            <w:hideMark/>
          </w:tcPr>
          <w:p w:rsidR="002B2F17" w:rsidRPr="00C10092" w:rsidRDefault="002B2F17" w:rsidP="00C654C4">
            <w:pPr>
              <w:jc w:val="both"/>
              <w:rPr>
                <w:color w:val="212529"/>
                <w:szCs w:val="24"/>
              </w:rPr>
            </w:pPr>
            <w:r w:rsidRPr="00C10092">
              <w:rPr>
                <w:color w:val="212529"/>
                <w:szCs w:val="24"/>
              </w:rPr>
              <w:t>1</w:t>
            </w:r>
            <w:r>
              <w:rPr>
                <w:color w:val="212529"/>
                <w:szCs w:val="24"/>
              </w:rPr>
              <w:t>1</w:t>
            </w:r>
            <w:r w:rsidRPr="00C10092">
              <w:rPr>
                <w:color w:val="212529"/>
                <w:szCs w:val="24"/>
              </w:rPr>
              <w:t>.</w:t>
            </w:r>
          </w:p>
        </w:tc>
        <w:tc>
          <w:tcPr>
            <w:tcW w:w="109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Pr="003A1F62" w:rsidRDefault="002B2F17" w:rsidP="00C654C4">
            <w:pPr>
              <w:spacing w:line="288" w:lineRule="atLeast"/>
              <w:jc w:val="both"/>
              <w:textAlignment w:val="baseline"/>
              <w:rPr>
                <w:bCs/>
                <w:color w:val="000000"/>
              </w:rPr>
            </w:pPr>
            <w:r w:rsidRPr="003A1F62">
              <w:rPr>
                <w:bdr w:val="none" w:sz="0" w:space="0" w:color="auto" w:frame="1"/>
              </w:rPr>
              <w:t xml:space="preserve">Організація </w:t>
            </w:r>
            <w:r w:rsidRPr="003A1F62">
              <w:t xml:space="preserve">ефективної безперебійної і надійної роботи очисних споруд у </w:t>
            </w:r>
            <w:proofErr w:type="spellStart"/>
            <w:r w:rsidRPr="003A1F62">
              <w:t>с.Корчин</w:t>
            </w:r>
            <w:proofErr w:type="spellEnd"/>
            <w:r w:rsidRPr="003A1F62">
              <w:t xml:space="preserve">. </w:t>
            </w:r>
          </w:p>
        </w:tc>
        <w:tc>
          <w:tcPr>
            <w:tcW w:w="1783"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Default="002B2F17" w:rsidP="00C654C4">
            <w:pPr>
              <w:jc w:val="both"/>
            </w:pPr>
            <w:r>
              <w:t>1.О</w:t>
            </w:r>
            <w:r w:rsidRPr="003A1F62">
              <w:t>плата за електроенергію, використану в процесі роботи очисних споруд</w:t>
            </w:r>
            <w:r>
              <w:t xml:space="preserve"> у </w:t>
            </w:r>
            <w:proofErr w:type="spellStart"/>
            <w:r>
              <w:t>с.Корчин</w:t>
            </w:r>
            <w:proofErr w:type="spellEnd"/>
          </w:p>
          <w:p w:rsidR="002B2F17" w:rsidRPr="003A1F62" w:rsidRDefault="002B2F17" w:rsidP="009076B1">
            <w:pPr>
              <w:jc w:val="both"/>
              <w:rPr>
                <w:color w:val="212529"/>
              </w:rPr>
            </w:pPr>
            <w:r>
              <w:t>2.Обслуговування  очисних споруд</w:t>
            </w:r>
          </w:p>
        </w:tc>
        <w:tc>
          <w:tcPr>
            <w:tcW w:w="85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076B1" w:rsidRDefault="009076B1" w:rsidP="002B2F17">
            <w:pPr>
              <w:rPr>
                <w:color w:val="212529"/>
                <w:szCs w:val="24"/>
              </w:rPr>
            </w:pPr>
          </w:p>
          <w:p w:rsidR="009076B1" w:rsidRDefault="009076B1" w:rsidP="002B2F17">
            <w:pPr>
              <w:rPr>
                <w:color w:val="212529"/>
                <w:szCs w:val="24"/>
              </w:rPr>
            </w:pPr>
          </w:p>
          <w:p w:rsidR="009076B1" w:rsidRDefault="009076B1" w:rsidP="002B2F17">
            <w:pPr>
              <w:rPr>
                <w:color w:val="212529"/>
                <w:szCs w:val="24"/>
              </w:rPr>
            </w:pPr>
          </w:p>
          <w:p w:rsidR="002B2F17" w:rsidRPr="00C10092" w:rsidRDefault="002B2F17" w:rsidP="002B2F17">
            <w:pPr>
              <w:rPr>
                <w:szCs w:val="24"/>
              </w:rPr>
            </w:pPr>
            <w:r w:rsidRPr="00C10092">
              <w:rPr>
                <w:color w:val="212529"/>
                <w:szCs w:val="24"/>
              </w:rPr>
              <w:t>2023</w:t>
            </w:r>
            <w:r>
              <w:rPr>
                <w:color w:val="212529"/>
                <w:szCs w:val="24"/>
              </w:rPr>
              <w:t>- 2025 рр</w:t>
            </w:r>
            <w:r w:rsidRPr="00C10092">
              <w:rPr>
                <w:color w:val="212529"/>
                <w:szCs w:val="24"/>
              </w:rPr>
              <w:t>.</w:t>
            </w:r>
          </w:p>
        </w:tc>
        <w:tc>
          <w:tcPr>
            <w:tcW w:w="1275"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076B1" w:rsidRDefault="009076B1" w:rsidP="00C654C4">
            <w:pPr>
              <w:jc w:val="both"/>
              <w:rPr>
                <w:color w:val="212529"/>
                <w:szCs w:val="24"/>
              </w:rPr>
            </w:pPr>
          </w:p>
          <w:p w:rsidR="009076B1" w:rsidRDefault="009076B1" w:rsidP="00C654C4">
            <w:pPr>
              <w:jc w:val="both"/>
              <w:rPr>
                <w:color w:val="212529"/>
                <w:szCs w:val="24"/>
              </w:rPr>
            </w:pPr>
          </w:p>
          <w:p w:rsidR="002B2F17" w:rsidRPr="00C10092" w:rsidRDefault="002B2F17" w:rsidP="00C654C4">
            <w:pPr>
              <w:jc w:val="both"/>
              <w:rPr>
                <w:color w:val="212529"/>
                <w:szCs w:val="24"/>
              </w:rPr>
            </w:pPr>
            <w:proofErr w:type="spellStart"/>
            <w:r w:rsidRPr="00C10092">
              <w:rPr>
                <w:color w:val="212529"/>
                <w:szCs w:val="24"/>
              </w:rPr>
              <w:t>Радехівська</w:t>
            </w:r>
            <w:proofErr w:type="spellEnd"/>
            <w:r w:rsidRPr="00C10092">
              <w:rPr>
                <w:color w:val="212529"/>
                <w:szCs w:val="24"/>
              </w:rPr>
              <w:t xml:space="preserve"> міська рада</w:t>
            </w:r>
          </w:p>
          <w:p w:rsidR="002B2F17" w:rsidRPr="00C10092" w:rsidRDefault="002B2F17" w:rsidP="00C654C4">
            <w:pPr>
              <w:jc w:val="both"/>
              <w:rPr>
                <w:color w:val="212529"/>
                <w:szCs w:val="24"/>
              </w:rPr>
            </w:pPr>
          </w:p>
        </w:tc>
        <w:tc>
          <w:tcPr>
            <w:tcW w:w="1277"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2B2F17" w:rsidRPr="00C10092" w:rsidRDefault="002B2F17" w:rsidP="00C654C4">
            <w:pPr>
              <w:spacing w:line="288" w:lineRule="atLeast"/>
              <w:jc w:val="center"/>
              <w:textAlignment w:val="baseline"/>
              <w:rPr>
                <w:color w:val="000000"/>
                <w:szCs w:val="24"/>
              </w:rPr>
            </w:pPr>
            <w:r>
              <w:rPr>
                <w:color w:val="000000"/>
                <w:szCs w:val="24"/>
              </w:rPr>
              <w:t xml:space="preserve">Бюджет </w:t>
            </w:r>
            <w:proofErr w:type="spellStart"/>
            <w:r>
              <w:rPr>
                <w:color w:val="000000"/>
                <w:szCs w:val="24"/>
              </w:rPr>
              <w:t>Радехівської</w:t>
            </w:r>
            <w:proofErr w:type="spellEnd"/>
            <w:r>
              <w:rPr>
                <w:color w:val="000000"/>
                <w:szCs w:val="24"/>
              </w:rPr>
              <w:t xml:space="preserve"> міської </w:t>
            </w:r>
            <w:proofErr w:type="spellStart"/>
            <w:r>
              <w:rPr>
                <w:color w:val="000000"/>
                <w:szCs w:val="24"/>
              </w:rPr>
              <w:t>теритторіальної</w:t>
            </w:r>
            <w:proofErr w:type="spellEnd"/>
            <w:r>
              <w:rPr>
                <w:color w:val="000000"/>
                <w:szCs w:val="24"/>
              </w:rPr>
              <w:t xml:space="preserve"> громади</w:t>
            </w:r>
          </w:p>
        </w:tc>
        <w:tc>
          <w:tcPr>
            <w:tcW w:w="851"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076B1" w:rsidRPr="009076B1" w:rsidRDefault="009076B1" w:rsidP="00C654C4">
            <w:pPr>
              <w:spacing w:line="288" w:lineRule="atLeast"/>
              <w:jc w:val="right"/>
              <w:textAlignment w:val="baseline"/>
              <w:rPr>
                <w:sz w:val="24"/>
                <w:szCs w:val="24"/>
              </w:rPr>
            </w:pPr>
          </w:p>
          <w:p w:rsidR="009076B1" w:rsidRPr="009076B1" w:rsidRDefault="009076B1" w:rsidP="00C654C4">
            <w:pPr>
              <w:spacing w:line="288" w:lineRule="atLeast"/>
              <w:jc w:val="right"/>
              <w:textAlignment w:val="baseline"/>
              <w:rPr>
                <w:sz w:val="24"/>
                <w:szCs w:val="24"/>
              </w:rPr>
            </w:pPr>
          </w:p>
          <w:p w:rsidR="009076B1" w:rsidRPr="009076B1" w:rsidRDefault="009076B1" w:rsidP="00C654C4">
            <w:pPr>
              <w:spacing w:line="288" w:lineRule="atLeast"/>
              <w:jc w:val="right"/>
              <w:textAlignment w:val="baseline"/>
              <w:rPr>
                <w:sz w:val="24"/>
                <w:szCs w:val="24"/>
              </w:rPr>
            </w:pPr>
          </w:p>
          <w:p w:rsidR="009076B1" w:rsidRPr="009076B1" w:rsidRDefault="009076B1" w:rsidP="00C654C4">
            <w:pPr>
              <w:spacing w:line="288" w:lineRule="atLeast"/>
              <w:jc w:val="right"/>
              <w:textAlignment w:val="baseline"/>
              <w:rPr>
                <w:sz w:val="24"/>
                <w:szCs w:val="24"/>
              </w:rPr>
            </w:pPr>
          </w:p>
          <w:p w:rsidR="002B2F17" w:rsidRPr="009076B1" w:rsidRDefault="002B2F17" w:rsidP="00C654C4">
            <w:pPr>
              <w:spacing w:line="288" w:lineRule="atLeast"/>
              <w:jc w:val="right"/>
              <w:textAlignment w:val="baseline"/>
              <w:rPr>
                <w:sz w:val="24"/>
                <w:szCs w:val="24"/>
              </w:rPr>
            </w:pPr>
            <w:r w:rsidRPr="009076B1">
              <w:rPr>
                <w:sz w:val="24"/>
                <w:szCs w:val="24"/>
              </w:rPr>
              <w:t>100,0</w:t>
            </w:r>
          </w:p>
        </w:tc>
        <w:tc>
          <w:tcPr>
            <w:tcW w:w="85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076B1" w:rsidRPr="009076B1" w:rsidRDefault="009076B1" w:rsidP="00C654C4">
            <w:pPr>
              <w:spacing w:line="288" w:lineRule="atLeast"/>
              <w:jc w:val="right"/>
              <w:textAlignment w:val="baseline"/>
              <w:rPr>
                <w:sz w:val="24"/>
                <w:szCs w:val="24"/>
              </w:rPr>
            </w:pPr>
          </w:p>
          <w:p w:rsidR="009076B1" w:rsidRPr="009076B1" w:rsidRDefault="009076B1" w:rsidP="00C654C4">
            <w:pPr>
              <w:spacing w:line="288" w:lineRule="atLeast"/>
              <w:jc w:val="right"/>
              <w:textAlignment w:val="baseline"/>
              <w:rPr>
                <w:sz w:val="24"/>
                <w:szCs w:val="24"/>
              </w:rPr>
            </w:pPr>
          </w:p>
          <w:p w:rsidR="009076B1" w:rsidRPr="009076B1" w:rsidRDefault="009076B1" w:rsidP="00C654C4">
            <w:pPr>
              <w:spacing w:line="288" w:lineRule="atLeast"/>
              <w:jc w:val="right"/>
              <w:textAlignment w:val="baseline"/>
              <w:rPr>
                <w:sz w:val="24"/>
                <w:szCs w:val="24"/>
              </w:rPr>
            </w:pPr>
          </w:p>
          <w:p w:rsidR="009076B1" w:rsidRPr="009076B1" w:rsidRDefault="009076B1" w:rsidP="00C654C4">
            <w:pPr>
              <w:spacing w:line="288" w:lineRule="atLeast"/>
              <w:jc w:val="right"/>
              <w:textAlignment w:val="baseline"/>
              <w:rPr>
                <w:sz w:val="24"/>
                <w:szCs w:val="24"/>
              </w:rPr>
            </w:pPr>
          </w:p>
          <w:p w:rsidR="002B2F17" w:rsidRPr="009076B1" w:rsidRDefault="002B2F17" w:rsidP="00C654C4">
            <w:pPr>
              <w:spacing w:line="288" w:lineRule="atLeast"/>
              <w:jc w:val="right"/>
              <w:textAlignment w:val="baseline"/>
              <w:rPr>
                <w:sz w:val="24"/>
                <w:szCs w:val="24"/>
              </w:rPr>
            </w:pPr>
            <w:r w:rsidRPr="009076B1">
              <w:rPr>
                <w:sz w:val="24"/>
                <w:szCs w:val="24"/>
              </w:rPr>
              <w:t>200,0</w:t>
            </w:r>
          </w:p>
        </w:tc>
        <w:tc>
          <w:tcPr>
            <w:tcW w:w="850" w:type="dxa"/>
            <w:tcBorders>
              <w:top w:val="outset" w:sz="6" w:space="0" w:color="auto"/>
              <w:left w:val="outset" w:sz="6" w:space="0" w:color="auto"/>
              <w:bottom w:val="outset" w:sz="6" w:space="0" w:color="auto"/>
              <w:right w:val="single" w:sz="4" w:space="0" w:color="auto"/>
            </w:tcBorders>
            <w:tcMar>
              <w:top w:w="180" w:type="dxa"/>
              <w:left w:w="60" w:type="dxa"/>
              <w:bottom w:w="180" w:type="dxa"/>
              <w:right w:w="60" w:type="dxa"/>
            </w:tcMar>
            <w:hideMark/>
          </w:tcPr>
          <w:p w:rsidR="009076B1" w:rsidRPr="009076B1" w:rsidRDefault="009076B1" w:rsidP="00C654C4">
            <w:pPr>
              <w:spacing w:line="288" w:lineRule="atLeast"/>
              <w:jc w:val="right"/>
              <w:textAlignment w:val="baseline"/>
              <w:rPr>
                <w:sz w:val="24"/>
                <w:szCs w:val="24"/>
              </w:rPr>
            </w:pPr>
          </w:p>
          <w:p w:rsidR="009076B1" w:rsidRPr="009076B1" w:rsidRDefault="009076B1" w:rsidP="00C654C4">
            <w:pPr>
              <w:spacing w:line="288" w:lineRule="atLeast"/>
              <w:jc w:val="right"/>
              <w:textAlignment w:val="baseline"/>
              <w:rPr>
                <w:sz w:val="24"/>
                <w:szCs w:val="24"/>
              </w:rPr>
            </w:pPr>
          </w:p>
          <w:p w:rsidR="009076B1" w:rsidRPr="009076B1" w:rsidRDefault="009076B1" w:rsidP="00C654C4">
            <w:pPr>
              <w:spacing w:line="288" w:lineRule="atLeast"/>
              <w:jc w:val="right"/>
              <w:textAlignment w:val="baseline"/>
              <w:rPr>
                <w:sz w:val="24"/>
                <w:szCs w:val="24"/>
              </w:rPr>
            </w:pPr>
          </w:p>
          <w:p w:rsidR="009076B1" w:rsidRPr="009076B1" w:rsidRDefault="009076B1" w:rsidP="00C654C4">
            <w:pPr>
              <w:spacing w:line="288" w:lineRule="atLeast"/>
              <w:jc w:val="right"/>
              <w:textAlignment w:val="baseline"/>
              <w:rPr>
                <w:sz w:val="24"/>
                <w:szCs w:val="24"/>
              </w:rPr>
            </w:pPr>
          </w:p>
          <w:p w:rsidR="002B2F17" w:rsidRPr="009076B1" w:rsidRDefault="002B2F17" w:rsidP="00C654C4">
            <w:pPr>
              <w:spacing w:line="288" w:lineRule="atLeast"/>
              <w:jc w:val="right"/>
              <w:textAlignment w:val="baseline"/>
              <w:rPr>
                <w:sz w:val="24"/>
                <w:szCs w:val="24"/>
              </w:rPr>
            </w:pPr>
            <w:r w:rsidRPr="009076B1">
              <w:rPr>
                <w:sz w:val="24"/>
                <w:szCs w:val="24"/>
              </w:rPr>
              <w:t>200,0</w:t>
            </w:r>
          </w:p>
        </w:tc>
        <w:tc>
          <w:tcPr>
            <w:tcW w:w="1845" w:type="dxa"/>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2B2F17" w:rsidRPr="00D900C6" w:rsidRDefault="002B2F17" w:rsidP="00C654C4">
            <w:pPr>
              <w:jc w:val="both"/>
              <w:rPr>
                <w:color w:val="212529"/>
              </w:rPr>
            </w:pPr>
            <w:r>
              <w:rPr>
                <w:bdr w:val="none" w:sz="0" w:space="0" w:color="auto" w:frame="1"/>
              </w:rPr>
              <w:t>З</w:t>
            </w:r>
            <w:r w:rsidRPr="00D900C6">
              <w:rPr>
                <w:bdr w:val="none" w:sz="0" w:space="0" w:color="auto" w:frame="1"/>
              </w:rPr>
              <w:t xml:space="preserve">абезпечення функціонування очисних споруд з метою недопущення </w:t>
            </w:r>
            <w:r w:rsidRPr="00D900C6">
              <w:t>шкоди навколишньому середовищу, мінімізації шкідливого впливу на здоров’я людей та надання послуг з водовідведення для установ соціально-культурної сфери, які користуються каналізацією.</w:t>
            </w:r>
          </w:p>
        </w:tc>
      </w:tr>
      <w:tr w:rsidR="00996F82" w:rsidRPr="00C10092" w:rsidTr="00996F82">
        <w:trPr>
          <w:trHeight w:val="1246"/>
        </w:trPr>
        <w:tc>
          <w:tcPr>
            <w:tcW w:w="388" w:type="dxa"/>
            <w:tcBorders>
              <w:top w:val="outset" w:sz="6" w:space="0" w:color="auto"/>
              <w:left w:val="single" w:sz="4" w:space="0" w:color="auto"/>
              <w:bottom w:val="outset" w:sz="6" w:space="0" w:color="auto"/>
              <w:right w:val="outset" w:sz="6" w:space="0" w:color="auto"/>
            </w:tcBorders>
            <w:tcMar>
              <w:top w:w="180" w:type="dxa"/>
              <w:left w:w="60" w:type="dxa"/>
              <w:bottom w:w="180" w:type="dxa"/>
              <w:right w:w="60" w:type="dxa"/>
            </w:tcMar>
            <w:hideMark/>
          </w:tcPr>
          <w:p w:rsidR="00996F82" w:rsidRPr="00C10092" w:rsidRDefault="00996F82" w:rsidP="00F819E1">
            <w:pPr>
              <w:jc w:val="both"/>
              <w:rPr>
                <w:color w:val="212529"/>
                <w:szCs w:val="24"/>
              </w:rPr>
            </w:pPr>
            <w:r w:rsidRPr="00C10092">
              <w:rPr>
                <w:color w:val="212529"/>
                <w:szCs w:val="24"/>
              </w:rPr>
              <w:t>1</w:t>
            </w:r>
            <w:r>
              <w:rPr>
                <w:color w:val="212529"/>
                <w:szCs w:val="24"/>
              </w:rPr>
              <w:t>2</w:t>
            </w:r>
            <w:r w:rsidRPr="00C10092">
              <w:rPr>
                <w:color w:val="212529"/>
                <w:szCs w:val="24"/>
              </w:rPr>
              <w:t>.</w:t>
            </w:r>
          </w:p>
        </w:tc>
        <w:tc>
          <w:tcPr>
            <w:tcW w:w="109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96F82" w:rsidRPr="003A1F62" w:rsidRDefault="00996F82" w:rsidP="00F819E1">
            <w:pPr>
              <w:spacing w:line="288" w:lineRule="atLeast"/>
              <w:jc w:val="both"/>
              <w:textAlignment w:val="baseline"/>
              <w:rPr>
                <w:bCs/>
                <w:color w:val="000000"/>
              </w:rPr>
            </w:pPr>
            <w:r w:rsidRPr="003A1F62">
              <w:rPr>
                <w:bdr w:val="none" w:sz="0" w:space="0" w:color="auto" w:frame="1"/>
              </w:rPr>
              <w:t xml:space="preserve">Організація </w:t>
            </w:r>
            <w:r w:rsidRPr="003A1F62">
              <w:t xml:space="preserve">ефективної безперебійної і надійної роботи </w:t>
            </w:r>
            <w:r>
              <w:t>мереж водопостачання по сільських населених пунктах</w:t>
            </w:r>
          </w:p>
        </w:tc>
        <w:tc>
          <w:tcPr>
            <w:tcW w:w="1783"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96F82" w:rsidRDefault="00996F82" w:rsidP="00F819E1">
            <w:pPr>
              <w:jc w:val="both"/>
            </w:pPr>
            <w:r>
              <w:t xml:space="preserve">1.Роботи з демонтажу аварійних та недіючих водонапірних </w:t>
            </w:r>
            <w:proofErr w:type="spellStart"/>
            <w:r>
              <w:t>башень</w:t>
            </w:r>
            <w:proofErr w:type="spellEnd"/>
            <w:r>
              <w:t xml:space="preserve">  по сільських населених пунктах, які не перебувають на обслуговуванні у комунальних підприємствах громади. </w:t>
            </w:r>
          </w:p>
          <w:p w:rsidR="00996F82" w:rsidRDefault="00996F82" w:rsidP="00F819E1">
            <w:pPr>
              <w:jc w:val="both"/>
            </w:pPr>
            <w:r>
              <w:t xml:space="preserve">2. Проведення ремонтів та придбання матеріалів, обладнання для ремонтів водонапірних </w:t>
            </w:r>
            <w:proofErr w:type="spellStart"/>
            <w:r>
              <w:t>башень</w:t>
            </w:r>
            <w:proofErr w:type="spellEnd"/>
            <w:r>
              <w:t xml:space="preserve">, свердловин та водопроводів  по сільських населених пунктах, які не перебувають на обслуговуванні у комунальних підприємствах </w:t>
            </w:r>
            <w:r>
              <w:lastRenderedPageBreak/>
              <w:t xml:space="preserve">громади. </w:t>
            </w:r>
          </w:p>
          <w:p w:rsidR="00996F82" w:rsidRPr="003A1F62" w:rsidRDefault="00996F82" w:rsidP="00F819E1">
            <w:pPr>
              <w:jc w:val="both"/>
              <w:rPr>
                <w:color w:val="212529"/>
              </w:rPr>
            </w:pPr>
            <w:r>
              <w:t xml:space="preserve">3. Проведення заходів щодо дезінфекції джерел централізованого водопостачання, які не перебувають на обслуговуванні у комунальних підприємствах громади. </w:t>
            </w:r>
          </w:p>
        </w:tc>
        <w:tc>
          <w:tcPr>
            <w:tcW w:w="85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96F82" w:rsidRDefault="00996F82" w:rsidP="00F819E1">
            <w:pPr>
              <w:rPr>
                <w:color w:val="212529"/>
                <w:szCs w:val="24"/>
              </w:rPr>
            </w:pPr>
          </w:p>
          <w:p w:rsidR="00996F82" w:rsidRDefault="00996F82" w:rsidP="00F819E1">
            <w:pPr>
              <w:rPr>
                <w:color w:val="212529"/>
                <w:szCs w:val="24"/>
              </w:rPr>
            </w:pPr>
          </w:p>
          <w:p w:rsidR="00996F82" w:rsidRDefault="00996F82" w:rsidP="00F819E1">
            <w:pPr>
              <w:rPr>
                <w:color w:val="212529"/>
                <w:szCs w:val="24"/>
              </w:rPr>
            </w:pPr>
          </w:p>
          <w:p w:rsidR="00996F82" w:rsidRPr="00C10092" w:rsidRDefault="00996F82" w:rsidP="00F819E1">
            <w:pPr>
              <w:rPr>
                <w:szCs w:val="24"/>
              </w:rPr>
            </w:pPr>
            <w:r w:rsidRPr="00C10092">
              <w:rPr>
                <w:color w:val="212529"/>
                <w:szCs w:val="24"/>
              </w:rPr>
              <w:t>202</w:t>
            </w:r>
            <w:r>
              <w:rPr>
                <w:color w:val="212529"/>
                <w:szCs w:val="24"/>
              </w:rPr>
              <w:t>4- 2025 рр</w:t>
            </w:r>
            <w:r w:rsidRPr="00C10092">
              <w:rPr>
                <w:color w:val="212529"/>
                <w:szCs w:val="24"/>
              </w:rPr>
              <w:t>.</w:t>
            </w:r>
          </w:p>
        </w:tc>
        <w:tc>
          <w:tcPr>
            <w:tcW w:w="1275"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96F82" w:rsidRDefault="00996F82" w:rsidP="00F819E1">
            <w:pPr>
              <w:jc w:val="both"/>
              <w:rPr>
                <w:color w:val="212529"/>
                <w:szCs w:val="24"/>
              </w:rPr>
            </w:pPr>
          </w:p>
          <w:p w:rsidR="00996F82" w:rsidRDefault="00996F82" w:rsidP="00F819E1">
            <w:pPr>
              <w:jc w:val="both"/>
              <w:rPr>
                <w:color w:val="212529"/>
                <w:szCs w:val="24"/>
              </w:rPr>
            </w:pPr>
          </w:p>
          <w:p w:rsidR="00996F82" w:rsidRPr="00C10092" w:rsidRDefault="00996F82" w:rsidP="00F819E1">
            <w:pPr>
              <w:jc w:val="both"/>
              <w:rPr>
                <w:color w:val="212529"/>
                <w:szCs w:val="24"/>
              </w:rPr>
            </w:pPr>
            <w:proofErr w:type="spellStart"/>
            <w:r w:rsidRPr="00C10092">
              <w:rPr>
                <w:color w:val="212529"/>
                <w:szCs w:val="24"/>
              </w:rPr>
              <w:t>Радехівська</w:t>
            </w:r>
            <w:proofErr w:type="spellEnd"/>
            <w:r w:rsidRPr="00C10092">
              <w:rPr>
                <w:color w:val="212529"/>
                <w:szCs w:val="24"/>
              </w:rPr>
              <w:t xml:space="preserve"> міська рада</w:t>
            </w:r>
          </w:p>
          <w:p w:rsidR="00996F82" w:rsidRPr="00C10092" w:rsidRDefault="00996F82" w:rsidP="00F819E1">
            <w:pPr>
              <w:jc w:val="both"/>
              <w:rPr>
                <w:color w:val="212529"/>
                <w:szCs w:val="24"/>
              </w:rPr>
            </w:pPr>
          </w:p>
        </w:tc>
        <w:tc>
          <w:tcPr>
            <w:tcW w:w="1277"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96F82" w:rsidRPr="00C10092" w:rsidRDefault="00996F82" w:rsidP="00F819E1">
            <w:pPr>
              <w:spacing w:line="288" w:lineRule="atLeast"/>
              <w:jc w:val="center"/>
              <w:textAlignment w:val="baseline"/>
              <w:rPr>
                <w:color w:val="000000"/>
                <w:szCs w:val="24"/>
              </w:rPr>
            </w:pPr>
            <w:r>
              <w:rPr>
                <w:color w:val="000000"/>
                <w:szCs w:val="24"/>
              </w:rPr>
              <w:t xml:space="preserve">Бюджет </w:t>
            </w:r>
            <w:proofErr w:type="spellStart"/>
            <w:r>
              <w:rPr>
                <w:color w:val="000000"/>
                <w:szCs w:val="24"/>
              </w:rPr>
              <w:t>Радехівської</w:t>
            </w:r>
            <w:proofErr w:type="spellEnd"/>
            <w:r>
              <w:rPr>
                <w:color w:val="000000"/>
                <w:szCs w:val="24"/>
              </w:rPr>
              <w:t xml:space="preserve"> міської </w:t>
            </w:r>
            <w:proofErr w:type="spellStart"/>
            <w:r>
              <w:rPr>
                <w:color w:val="000000"/>
                <w:szCs w:val="24"/>
              </w:rPr>
              <w:t>теритторіальної</w:t>
            </w:r>
            <w:proofErr w:type="spellEnd"/>
            <w:r>
              <w:rPr>
                <w:color w:val="000000"/>
                <w:szCs w:val="24"/>
              </w:rPr>
              <w:t xml:space="preserve"> громади</w:t>
            </w:r>
          </w:p>
        </w:tc>
        <w:tc>
          <w:tcPr>
            <w:tcW w:w="851"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tc>
        <w:tc>
          <w:tcPr>
            <w:tcW w:w="85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r>
              <w:rPr>
                <w:sz w:val="24"/>
                <w:szCs w:val="24"/>
              </w:rPr>
              <w:t>5</w:t>
            </w:r>
            <w:r w:rsidRPr="009076B1">
              <w:rPr>
                <w:sz w:val="24"/>
                <w:szCs w:val="24"/>
              </w:rPr>
              <w:t>00,0</w:t>
            </w:r>
          </w:p>
        </w:tc>
        <w:tc>
          <w:tcPr>
            <w:tcW w:w="850" w:type="dxa"/>
            <w:tcBorders>
              <w:top w:val="outset" w:sz="6" w:space="0" w:color="auto"/>
              <w:left w:val="outset" w:sz="6" w:space="0" w:color="auto"/>
              <w:bottom w:val="outset" w:sz="6" w:space="0" w:color="auto"/>
              <w:right w:val="single" w:sz="4" w:space="0" w:color="auto"/>
            </w:tcBorders>
            <w:tcMar>
              <w:top w:w="180" w:type="dxa"/>
              <w:left w:w="60" w:type="dxa"/>
              <w:bottom w:w="180" w:type="dxa"/>
              <w:right w:w="60" w:type="dxa"/>
            </w:tcMar>
            <w:hideMark/>
          </w:tcPr>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p>
          <w:p w:rsidR="00996F82" w:rsidRPr="009076B1" w:rsidRDefault="00996F82" w:rsidP="00F819E1">
            <w:pPr>
              <w:spacing w:line="288" w:lineRule="atLeast"/>
              <w:jc w:val="right"/>
              <w:textAlignment w:val="baseline"/>
              <w:rPr>
                <w:sz w:val="24"/>
                <w:szCs w:val="24"/>
              </w:rPr>
            </w:pPr>
            <w:r>
              <w:rPr>
                <w:sz w:val="24"/>
                <w:szCs w:val="24"/>
              </w:rPr>
              <w:t>5</w:t>
            </w:r>
            <w:r w:rsidRPr="009076B1">
              <w:rPr>
                <w:sz w:val="24"/>
                <w:szCs w:val="24"/>
              </w:rPr>
              <w:t>00,0</w:t>
            </w:r>
          </w:p>
        </w:tc>
        <w:tc>
          <w:tcPr>
            <w:tcW w:w="1845" w:type="dxa"/>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996F82" w:rsidRPr="00D900C6" w:rsidRDefault="00996F82" w:rsidP="00F819E1">
            <w:pPr>
              <w:jc w:val="both"/>
              <w:rPr>
                <w:color w:val="212529"/>
              </w:rPr>
            </w:pPr>
            <w:r>
              <w:rPr>
                <w:bdr w:val="none" w:sz="0" w:space="0" w:color="auto" w:frame="1"/>
              </w:rPr>
              <w:t>З</w:t>
            </w:r>
            <w:r w:rsidRPr="00D900C6">
              <w:rPr>
                <w:bdr w:val="none" w:sz="0" w:space="0" w:color="auto" w:frame="1"/>
              </w:rPr>
              <w:t xml:space="preserve">абезпечення </w:t>
            </w:r>
            <w:r w:rsidRPr="003A1F62">
              <w:t xml:space="preserve">ефективної безперебійної і надійної роботи </w:t>
            </w:r>
            <w:r>
              <w:t>мереж водопостачання по сільських населених пунктах</w:t>
            </w:r>
          </w:p>
        </w:tc>
      </w:tr>
      <w:tr w:rsidR="00996F82" w:rsidRPr="00C10092" w:rsidTr="00996F82">
        <w:trPr>
          <w:trHeight w:val="246"/>
        </w:trPr>
        <w:tc>
          <w:tcPr>
            <w:tcW w:w="388" w:type="dxa"/>
            <w:tcBorders>
              <w:top w:val="outset" w:sz="6" w:space="0" w:color="auto"/>
              <w:left w:val="single" w:sz="4" w:space="0" w:color="auto"/>
              <w:bottom w:val="outset" w:sz="6" w:space="0" w:color="auto"/>
              <w:right w:val="outset" w:sz="6" w:space="0" w:color="auto"/>
            </w:tcBorders>
            <w:tcMar>
              <w:top w:w="180" w:type="dxa"/>
              <w:left w:w="60" w:type="dxa"/>
              <w:bottom w:w="180" w:type="dxa"/>
              <w:right w:w="60" w:type="dxa"/>
            </w:tcMar>
            <w:hideMark/>
          </w:tcPr>
          <w:p w:rsidR="00996F82" w:rsidRPr="00C10092" w:rsidRDefault="00996F82" w:rsidP="00F819E1">
            <w:pPr>
              <w:jc w:val="both"/>
              <w:rPr>
                <w:color w:val="212529"/>
                <w:szCs w:val="24"/>
              </w:rPr>
            </w:pPr>
          </w:p>
        </w:tc>
        <w:tc>
          <w:tcPr>
            <w:tcW w:w="109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96F82" w:rsidRPr="005C5F76" w:rsidRDefault="00996F82" w:rsidP="00F819E1">
            <w:pPr>
              <w:spacing w:line="288" w:lineRule="atLeast"/>
              <w:jc w:val="both"/>
              <w:textAlignment w:val="baseline"/>
              <w:rPr>
                <w:b/>
                <w:bdr w:val="none" w:sz="0" w:space="0" w:color="auto" w:frame="1"/>
              </w:rPr>
            </w:pPr>
            <w:r w:rsidRPr="005C5F76">
              <w:rPr>
                <w:b/>
                <w:bdr w:val="none" w:sz="0" w:space="0" w:color="auto" w:frame="1"/>
              </w:rPr>
              <w:t>ВСЬОГО</w:t>
            </w:r>
          </w:p>
        </w:tc>
        <w:tc>
          <w:tcPr>
            <w:tcW w:w="1783" w:type="dxa"/>
            <w:tcBorders>
              <w:top w:val="outset" w:sz="6" w:space="0" w:color="auto"/>
              <w:left w:val="outset" w:sz="6" w:space="0" w:color="auto"/>
              <w:bottom w:val="single" w:sz="4" w:space="0" w:color="auto"/>
              <w:right w:val="outset" w:sz="6" w:space="0" w:color="auto"/>
            </w:tcBorders>
            <w:tcMar>
              <w:top w:w="180" w:type="dxa"/>
              <w:left w:w="60" w:type="dxa"/>
              <w:bottom w:w="180" w:type="dxa"/>
              <w:right w:w="60" w:type="dxa"/>
            </w:tcMar>
            <w:hideMark/>
          </w:tcPr>
          <w:p w:rsidR="00996F82" w:rsidRPr="005C5F76" w:rsidRDefault="00996F82" w:rsidP="00F819E1">
            <w:pPr>
              <w:jc w:val="center"/>
              <w:rPr>
                <w:b/>
              </w:rPr>
            </w:pPr>
            <w:r>
              <w:rPr>
                <w:b/>
              </w:rPr>
              <w:t>Х</w:t>
            </w:r>
          </w:p>
        </w:tc>
        <w:tc>
          <w:tcPr>
            <w:tcW w:w="850" w:type="dxa"/>
            <w:tcBorders>
              <w:top w:val="outset" w:sz="6" w:space="0" w:color="auto"/>
              <w:left w:val="outset" w:sz="6" w:space="0" w:color="auto"/>
              <w:bottom w:val="single" w:sz="4" w:space="0" w:color="auto"/>
              <w:right w:val="outset" w:sz="6" w:space="0" w:color="auto"/>
            </w:tcBorders>
            <w:tcMar>
              <w:top w:w="180" w:type="dxa"/>
              <w:left w:w="60" w:type="dxa"/>
              <w:bottom w:w="180" w:type="dxa"/>
              <w:right w:w="60" w:type="dxa"/>
            </w:tcMar>
            <w:hideMark/>
          </w:tcPr>
          <w:p w:rsidR="00996F82" w:rsidRPr="005C5F76" w:rsidRDefault="00996F82" w:rsidP="00F819E1">
            <w:pPr>
              <w:jc w:val="center"/>
              <w:rPr>
                <w:b/>
                <w:color w:val="212529"/>
                <w:szCs w:val="24"/>
              </w:rPr>
            </w:pPr>
            <w:r>
              <w:rPr>
                <w:b/>
                <w:color w:val="212529"/>
                <w:szCs w:val="24"/>
              </w:rPr>
              <w:t>Х</w:t>
            </w:r>
          </w:p>
        </w:tc>
        <w:tc>
          <w:tcPr>
            <w:tcW w:w="1275" w:type="dxa"/>
            <w:tcBorders>
              <w:top w:val="outset" w:sz="6" w:space="0" w:color="auto"/>
              <w:left w:val="outset" w:sz="6" w:space="0" w:color="auto"/>
              <w:bottom w:val="single" w:sz="4" w:space="0" w:color="auto"/>
              <w:right w:val="outset" w:sz="6" w:space="0" w:color="auto"/>
            </w:tcBorders>
            <w:tcMar>
              <w:top w:w="180" w:type="dxa"/>
              <w:left w:w="60" w:type="dxa"/>
              <w:bottom w:w="180" w:type="dxa"/>
              <w:right w:w="60" w:type="dxa"/>
            </w:tcMar>
            <w:hideMark/>
          </w:tcPr>
          <w:p w:rsidR="00996F82" w:rsidRPr="005C5F76" w:rsidRDefault="00996F82" w:rsidP="00F819E1">
            <w:pPr>
              <w:jc w:val="center"/>
              <w:rPr>
                <w:b/>
                <w:color w:val="212529"/>
                <w:szCs w:val="24"/>
              </w:rPr>
            </w:pPr>
            <w:r>
              <w:rPr>
                <w:b/>
                <w:color w:val="212529"/>
                <w:szCs w:val="24"/>
              </w:rPr>
              <w:t>Х</w:t>
            </w:r>
          </w:p>
        </w:tc>
        <w:tc>
          <w:tcPr>
            <w:tcW w:w="1277" w:type="dxa"/>
            <w:tcBorders>
              <w:top w:val="outset" w:sz="6" w:space="0" w:color="auto"/>
              <w:left w:val="outset" w:sz="6" w:space="0" w:color="auto"/>
              <w:bottom w:val="single" w:sz="4" w:space="0" w:color="auto"/>
              <w:right w:val="outset" w:sz="6" w:space="0" w:color="auto"/>
            </w:tcBorders>
            <w:tcMar>
              <w:top w:w="180" w:type="dxa"/>
              <w:left w:w="60" w:type="dxa"/>
              <w:bottom w:w="180" w:type="dxa"/>
              <w:right w:w="60" w:type="dxa"/>
            </w:tcMar>
            <w:hideMark/>
          </w:tcPr>
          <w:p w:rsidR="00996F82" w:rsidRPr="005C5F76" w:rsidRDefault="00996F82" w:rsidP="00F819E1">
            <w:pPr>
              <w:spacing w:line="288" w:lineRule="atLeast"/>
              <w:jc w:val="center"/>
              <w:textAlignment w:val="baseline"/>
              <w:rPr>
                <w:b/>
                <w:color w:val="000000"/>
                <w:szCs w:val="24"/>
              </w:rPr>
            </w:pPr>
            <w:r>
              <w:rPr>
                <w:b/>
                <w:color w:val="000000"/>
                <w:szCs w:val="24"/>
              </w:rPr>
              <w:t>Х</w:t>
            </w:r>
          </w:p>
        </w:tc>
        <w:tc>
          <w:tcPr>
            <w:tcW w:w="851" w:type="dxa"/>
            <w:tcBorders>
              <w:top w:val="outset" w:sz="6" w:space="0" w:color="auto"/>
              <w:left w:val="outset" w:sz="6" w:space="0" w:color="auto"/>
              <w:bottom w:val="single" w:sz="4" w:space="0" w:color="auto"/>
              <w:right w:val="outset" w:sz="6" w:space="0" w:color="auto"/>
            </w:tcBorders>
            <w:tcMar>
              <w:top w:w="180" w:type="dxa"/>
              <w:left w:w="60" w:type="dxa"/>
              <w:bottom w:w="180" w:type="dxa"/>
              <w:right w:w="60" w:type="dxa"/>
            </w:tcMar>
            <w:hideMark/>
          </w:tcPr>
          <w:p w:rsidR="00996F82" w:rsidRPr="005C5F76" w:rsidRDefault="00996F82" w:rsidP="00F819E1">
            <w:pPr>
              <w:spacing w:line="288" w:lineRule="atLeast"/>
              <w:jc w:val="right"/>
              <w:textAlignment w:val="baseline"/>
              <w:rPr>
                <w:b/>
                <w:sz w:val="24"/>
                <w:szCs w:val="24"/>
              </w:rPr>
            </w:pPr>
            <w:r>
              <w:rPr>
                <w:b/>
                <w:sz w:val="24"/>
                <w:szCs w:val="24"/>
              </w:rPr>
              <w:t>3050,0</w:t>
            </w:r>
          </w:p>
        </w:tc>
        <w:tc>
          <w:tcPr>
            <w:tcW w:w="850" w:type="dxa"/>
            <w:tcBorders>
              <w:top w:val="outset" w:sz="6" w:space="0" w:color="auto"/>
              <w:left w:val="outset" w:sz="6" w:space="0" w:color="auto"/>
              <w:bottom w:val="single" w:sz="4" w:space="0" w:color="auto"/>
              <w:right w:val="outset" w:sz="6" w:space="0" w:color="auto"/>
            </w:tcBorders>
            <w:tcMar>
              <w:top w:w="180" w:type="dxa"/>
              <w:left w:w="60" w:type="dxa"/>
              <w:bottom w:w="180" w:type="dxa"/>
              <w:right w:w="60" w:type="dxa"/>
            </w:tcMar>
            <w:hideMark/>
          </w:tcPr>
          <w:p w:rsidR="00996F82" w:rsidRPr="005C5F76" w:rsidRDefault="00996F82" w:rsidP="00F819E1">
            <w:pPr>
              <w:spacing w:line="288" w:lineRule="atLeast"/>
              <w:jc w:val="right"/>
              <w:textAlignment w:val="baseline"/>
              <w:rPr>
                <w:b/>
                <w:sz w:val="24"/>
                <w:szCs w:val="24"/>
              </w:rPr>
            </w:pPr>
            <w:r>
              <w:rPr>
                <w:b/>
                <w:sz w:val="24"/>
                <w:szCs w:val="24"/>
              </w:rPr>
              <w:t>2400,0</w:t>
            </w:r>
          </w:p>
        </w:tc>
        <w:tc>
          <w:tcPr>
            <w:tcW w:w="850" w:type="dxa"/>
            <w:tcBorders>
              <w:top w:val="outset" w:sz="6" w:space="0" w:color="auto"/>
              <w:left w:val="outset" w:sz="6" w:space="0" w:color="auto"/>
              <w:bottom w:val="single" w:sz="4" w:space="0" w:color="auto"/>
              <w:right w:val="single" w:sz="4" w:space="0" w:color="auto"/>
            </w:tcBorders>
            <w:tcMar>
              <w:top w:w="180" w:type="dxa"/>
              <w:left w:w="60" w:type="dxa"/>
              <w:bottom w:w="180" w:type="dxa"/>
              <w:right w:w="60" w:type="dxa"/>
            </w:tcMar>
            <w:hideMark/>
          </w:tcPr>
          <w:p w:rsidR="00996F82" w:rsidRPr="005C5F76" w:rsidRDefault="00996F82" w:rsidP="00F819E1">
            <w:pPr>
              <w:spacing w:line="288" w:lineRule="atLeast"/>
              <w:jc w:val="right"/>
              <w:textAlignment w:val="baseline"/>
              <w:rPr>
                <w:b/>
                <w:sz w:val="24"/>
                <w:szCs w:val="24"/>
              </w:rPr>
            </w:pPr>
            <w:r>
              <w:rPr>
                <w:b/>
                <w:sz w:val="24"/>
                <w:szCs w:val="24"/>
              </w:rPr>
              <w:t>2050,0</w:t>
            </w:r>
          </w:p>
        </w:tc>
        <w:tc>
          <w:tcPr>
            <w:tcW w:w="1845" w:type="dxa"/>
            <w:tcBorders>
              <w:top w:val="single" w:sz="4" w:space="0" w:color="auto"/>
              <w:left w:val="single" w:sz="4" w:space="0" w:color="auto"/>
              <w:bottom w:val="single" w:sz="4" w:space="0" w:color="auto"/>
              <w:right w:val="single" w:sz="4" w:space="0" w:color="auto"/>
            </w:tcBorders>
            <w:tcMar>
              <w:top w:w="180" w:type="dxa"/>
              <w:left w:w="60" w:type="dxa"/>
              <w:bottom w:w="180" w:type="dxa"/>
              <w:right w:w="60" w:type="dxa"/>
            </w:tcMar>
            <w:hideMark/>
          </w:tcPr>
          <w:p w:rsidR="00996F82" w:rsidRPr="005C5F76" w:rsidRDefault="00996F82" w:rsidP="00F819E1">
            <w:pPr>
              <w:jc w:val="center"/>
              <w:rPr>
                <w:b/>
                <w:bdr w:val="none" w:sz="0" w:space="0" w:color="auto" w:frame="1"/>
              </w:rPr>
            </w:pPr>
            <w:r>
              <w:rPr>
                <w:b/>
                <w:bdr w:val="none" w:sz="0" w:space="0" w:color="auto" w:frame="1"/>
              </w:rPr>
              <w:t>Х</w:t>
            </w:r>
          </w:p>
        </w:tc>
      </w:tr>
    </w:tbl>
    <w:p w:rsidR="004662CC" w:rsidRPr="00CC5006" w:rsidRDefault="004662CC" w:rsidP="007D7959">
      <w:pPr>
        <w:shd w:val="clear" w:color="auto" w:fill="FFFFFF"/>
        <w:spacing w:line="322" w:lineRule="exact"/>
        <w:ind w:firstLine="851"/>
        <w:jc w:val="both"/>
        <w:rPr>
          <w:sz w:val="28"/>
          <w:szCs w:val="28"/>
        </w:rPr>
      </w:pPr>
    </w:p>
    <w:p w:rsidR="007D7959" w:rsidRDefault="007D7959" w:rsidP="007D7959">
      <w:pPr>
        <w:ind w:right="141" w:firstLine="851"/>
        <w:jc w:val="both"/>
        <w:rPr>
          <w:bCs/>
          <w:color w:val="000000"/>
          <w:sz w:val="28"/>
          <w:szCs w:val="28"/>
        </w:rPr>
      </w:pPr>
      <w:r>
        <w:rPr>
          <w:sz w:val="28"/>
          <w:szCs w:val="28"/>
        </w:rPr>
        <w:t>2.</w:t>
      </w:r>
      <w:r w:rsidR="004662CC">
        <w:rPr>
          <w:sz w:val="28"/>
          <w:szCs w:val="28"/>
        </w:rPr>
        <w:t>3</w:t>
      </w:r>
      <w:r>
        <w:rPr>
          <w:sz w:val="28"/>
          <w:szCs w:val="28"/>
        </w:rPr>
        <w:t>.</w:t>
      </w:r>
      <w:r w:rsidRPr="007D7959">
        <w:rPr>
          <w:sz w:val="28"/>
          <w:szCs w:val="28"/>
          <w:lang w:eastAsia="en-GB"/>
        </w:rPr>
        <w:t xml:space="preserve"> </w:t>
      </w:r>
      <w:r w:rsidR="005C5F76">
        <w:rPr>
          <w:color w:val="000000"/>
          <w:sz w:val="28"/>
          <w:szCs w:val="28"/>
        </w:rPr>
        <w:t xml:space="preserve">У додатку 1 до </w:t>
      </w:r>
      <w:r w:rsidR="005C5F76" w:rsidRPr="008D5083">
        <w:rPr>
          <w:b/>
          <w:color w:val="000000"/>
          <w:sz w:val="28"/>
          <w:szCs w:val="28"/>
        </w:rPr>
        <w:t>Програми 2</w:t>
      </w:r>
      <w:r w:rsidR="005C5F76">
        <w:rPr>
          <w:color w:val="000000"/>
          <w:sz w:val="28"/>
          <w:szCs w:val="28"/>
        </w:rPr>
        <w:t xml:space="preserve"> «Паспорт Програми </w:t>
      </w:r>
      <w:r w:rsidR="005C5F76" w:rsidRPr="002266A3">
        <w:rPr>
          <w:bCs/>
          <w:color w:val="000000"/>
          <w:sz w:val="28"/>
          <w:szCs w:val="28"/>
        </w:rPr>
        <w:t xml:space="preserve">«Питна вода на території </w:t>
      </w:r>
      <w:proofErr w:type="spellStart"/>
      <w:r w:rsidR="005C5F76" w:rsidRPr="002266A3">
        <w:rPr>
          <w:bCs/>
          <w:color w:val="000000"/>
          <w:sz w:val="28"/>
          <w:szCs w:val="28"/>
        </w:rPr>
        <w:t>Радехівської</w:t>
      </w:r>
      <w:proofErr w:type="spellEnd"/>
      <w:r w:rsidR="005C5F76" w:rsidRPr="002266A3">
        <w:rPr>
          <w:bCs/>
          <w:color w:val="000000"/>
          <w:sz w:val="28"/>
          <w:szCs w:val="28"/>
        </w:rPr>
        <w:t xml:space="preserve"> міської територіальної громади на 2023 </w:t>
      </w:r>
      <w:r w:rsidR="005C5F76" w:rsidRPr="002266A3">
        <w:rPr>
          <w:bCs/>
          <w:i/>
          <w:iCs/>
          <w:color w:val="000000"/>
          <w:sz w:val="28"/>
          <w:szCs w:val="28"/>
        </w:rPr>
        <w:t>– </w:t>
      </w:r>
      <w:r w:rsidR="005C5F76" w:rsidRPr="002266A3">
        <w:rPr>
          <w:bCs/>
          <w:color w:val="000000"/>
          <w:sz w:val="28"/>
          <w:szCs w:val="28"/>
        </w:rPr>
        <w:t>2025 роки»</w:t>
      </w:r>
      <w:r w:rsidR="005C5F76">
        <w:rPr>
          <w:bCs/>
          <w:color w:val="000000"/>
          <w:sz w:val="28"/>
          <w:szCs w:val="28"/>
        </w:rPr>
        <w:t xml:space="preserve"> у восьмій стрічці  цифру «1 700,0» замінити на цифру «</w:t>
      </w:r>
      <w:r w:rsidR="00A51C90">
        <w:rPr>
          <w:bCs/>
          <w:color w:val="000000"/>
          <w:sz w:val="28"/>
          <w:szCs w:val="28"/>
        </w:rPr>
        <w:t>2 4</w:t>
      </w:r>
      <w:r w:rsidR="005C5F76">
        <w:rPr>
          <w:bCs/>
          <w:color w:val="000000"/>
          <w:sz w:val="28"/>
          <w:szCs w:val="28"/>
        </w:rPr>
        <w:t>00,0», у дев’ятій стрічці цифр</w:t>
      </w:r>
      <w:r w:rsidR="00A51C90">
        <w:rPr>
          <w:bCs/>
          <w:color w:val="000000"/>
          <w:sz w:val="28"/>
          <w:szCs w:val="28"/>
        </w:rPr>
        <w:t>у «1 350,0» замінити на цифру «2</w:t>
      </w:r>
      <w:r w:rsidR="005C5F76">
        <w:rPr>
          <w:bCs/>
          <w:color w:val="000000"/>
          <w:sz w:val="28"/>
          <w:szCs w:val="28"/>
        </w:rPr>
        <w:t xml:space="preserve"> </w:t>
      </w:r>
      <w:r w:rsidR="00A51C90">
        <w:rPr>
          <w:bCs/>
          <w:color w:val="000000"/>
          <w:sz w:val="28"/>
          <w:szCs w:val="28"/>
        </w:rPr>
        <w:t>0</w:t>
      </w:r>
      <w:r w:rsidR="005C5F76">
        <w:rPr>
          <w:bCs/>
          <w:color w:val="000000"/>
          <w:sz w:val="28"/>
          <w:szCs w:val="28"/>
        </w:rPr>
        <w:t>50,0».</w:t>
      </w:r>
    </w:p>
    <w:p w:rsidR="00A51C90" w:rsidRDefault="00A51C90" w:rsidP="007D7959">
      <w:pPr>
        <w:ind w:right="141" w:firstLine="851"/>
        <w:jc w:val="both"/>
        <w:rPr>
          <w:sz w:val="28"/>
          <w:szCs w:val="28"/>
        </w:rPr>
      </w:pPr>
      <w:r>
        <w:rPr>
          <w:bCs/>
          <w:color w:val="000000"/>
          <w:sz w:val="28"/>
          <w:szCs w:val="28"/>
        </w:rPr>
        <w:t xml:space="preserve">3. </w:t>
      </w:r>
      <w:r>
        <w:rPr>
          <w:sz w:val="28"/>
          <w:szCs w:val="28"/>
        </w:rPr>
        <w:t xml:space="preserve">Внести зміни  до </w:t>
      </w:r>
      <w:r w:rsidRPr="00A51C90">
        <w:rPr>
          <w:b/>
          <w:sz w:val="28"/>
          <w:szCs w:val="28"/>
        </w:rPr>
        <w:t>Програм</w:t>
      </w:r>
      <w:r>
        <w:rPr>
          <w:b/>
          <w:sz w:val="28"/>
          <w:szCs w:val="28"/>
        </w:rPr>
        <w:t>и</w:t>
      </w:r>
      <w:r w:rsidRPr="00A51C90">
        <w:rPr>
          <w:b/>
          <w:sz w:val="28"/>
          <w:szCs w:val="28"/>
        </w:rPr>
        <w:t xml:space="preserve"> соціальної підтримки учасників АТО,ООС, учасників бойових дій під час відсічі збройної агресії проти України або ліквідації (нейтралізації) збройного конфлікту та членів їх сімей  на 2024-2026 роки </w:t>
      </w:r>
      <w:r w:rsidRPr="00A13A71">
        <w:rPr>
          <w:b/>
          <w:sz w:val="28"/>
          <w:szCs w:val="28"/>
        </w:rPr>
        <w:t xml:space="preserve"> (далі Програма </w:t>
      </w:r>
      <w:r>
        <w:rPr>
          <w:b/>
          <w:sz w:val="28"/>
          <w:szCs w:val="28"/>
        </w:rPr>
        <w:t>3</w:t>
      </w:r>
      <w:r w:rsidRPr="00A13A71">
        <w:rPr>
          <w:b/>
          <w:sz w:val="28"/>
          <w:szCs w:val="28"/>
        </w:rPr>
        <w:t>)</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кої ради від 15.12.2023 року № 11 :</w:t>
      </w:r>
    </w:p>
    <w:p w:rsidR="00496F3A" w:rsidRDefault="00A51C90" w:rsidP="008D5083">
      <w:pPr>
        <w:pStyle w:val="21"/>
        <w:shd w:val="clear" w:color="auto" w:fill="auto"/>
        <w:spacing w:after="0" w:line="240" w:lineRule="auto"/>
        <w:ind w:firstLine="851"/>
        <w:jc w:val="both"/>
        <w:rPr>
          <w:rStyle w:val="afd"/>
          <w:rFonts w:eastAsia="Arial Unicode MS"/>
          <w:b w:val="0"/>
          <w:sz w:val="28"/>
          <w:szCs w:val="28"/>
          <w:u w:val="none"/>
        </w:rPr>
      </w:pPr>
      <w:r w:rsidRPr="008D5083">
        <w:rPr>
          <w:b w:val="0"/>
          <w:sz w:val="28"/>
          <w:szCs w:val="28"/>
        </w:rPr>
        <w:t>3.1.</w:t>
      </w:r>
      <w:r w:rsidR="00496F3A" w:rsidRPr="008D5083">
        <w:rPr>
          <w:b w:val="0"/>
          <w:color w:val="000000"/>
          <w:sz w:val="28"/>
          <w:szCs w:val="28"/>
          <w:lang w:bidi="uk-UA"/>
        </w:rPr>
        <w:t xml:space="preserve"> </w:t>
      </w:r>
      <w:r w:rsidR="008D5083" w:rsidRPr="008D5083">
        <w:rPr>
          <w:b w:val="0"/>
          <w:color w:val="000000"/>
          <w:sz w:val="28"/>
          <w:szCs w:val="28"/>
          <w:lang w:bidi="uk-UA"/>
        </w:rPr>
        <w:t xml:space="preserve">У Додатку до </w:t>
      </w:r>
      <w:r w:rsidR="008D5083" w:rsidRPr="00AC10F9">
        <w:rPr>
          <w:color w:val="000000"/>
          <w:sz w:val="28"/>
          <w:szCs w:val="28"/>
          <w:lang w:bidi="uk-UA"/>
        </w:rPr>
        <w:t>Програми 3</w:t>
      </w:r>
      <w:r w:rsidR="008D5083">
        <w:rPr>
          <w:color w:val="000000"/>
          <w:sz w:val="28"/>
          <w:szCs w:val="28"/>
          <w:lang w:bidi="uk-UA"/>
        </w:rPr>
        <w:t xml:space="preserve"> «</w:t>
      </w:r>
      <w:r w:rsidR="00496F3A" w:rsidRPr="00496F3A">
        <w:rPr>
          <w:b w:val="0"/>
          <w:color w:val="000000"/>
          <w:sz w:val="28"/>
          <w:szCs w:val="28"/>
          <w:lang w:bidi="uk-UA"/>
        </w:rPr>
        <w:t xml:space="preserve">Завдання та заходи </w:t>
      </w:r>
      <w:r w:rsidR="00496F3A" w:rsidRPr="00496F3A">
        <w:rPr>
          <w:rStyle w:val="afd"/>
          <w:rFonts w:eastAsia="Arial Unicode MS"/>
          <w:b w:val="0"/>
          <w:sz w:val="28"/>
          <w:szCs w:val="28"/>
          <w:u w:val="none"/>
        </w:rPr>
        <w:t>щодо виконання Програми соціальної підтримки учасників АТО,ООС,</w:t>
      </w:r>
      <w:r w:rsidR="00496F3A" w:rsidRPr="00496F3A">
        <w:rPr>
          <w:b w:val="0"/>
          <w:sz w:val="28"/>
          <w:szCs w:val="28"/>
        </w:rPr>
        <w:t xml:space="preserve"> учасників бойових дій під час відсічі збройної агресії проти України або ліквідації (нейтралізації) збройного конфлікту </w:t>
      </w:r>
      <w:r w:rsidR="00496F3A" w:rsidRPr="00496F3A">
        <w:rPr>
          <w:rStyle w:val="afd"/>
          <w:rFonts w:eastAsia="Arial Unicode MS"/>
          <w:b w:val="0"/>
          <w:sz w:val="28"/>
          <w:szCs w:val="28"/>
          <w:u w:val="none"/>
        </w:rPr>
        <w:t>та членів їх сімей на 2024-2026 роки</w:t>
      </w:r>
      <w:r w:rsidR="008D5083">
        <w:rPr>
          <w:rStyle w:val="afd"/>
          <w:rFonts w:eastAsia="Arial Unicode MS"/>
          <w:b w:val="0"/>
          <w:sz w:val="28"/>
          <w:szCs w:val="28"/>
          <w:u w:val="none"/>
        </w:rPr>
        <w:t xml:space="preserve">» у 10 пункті по заходу </w:t>
      </w:r>
      <w:r w:rsidR="008D5083" w:rsidRPr="008D5083">
        <w:rPr>
          <w:rStyle w:val="afd"/>
          <w:rFonts w:eastAsia="Arial Unicode MS"/>
          <w:b w:val="0"/>
          <w:sz w:val="28"/>
          <w:szCs w:val="28"/>
          <w:u w:val="none"/>
        </w:rPr>
        <w:t>«</w:t>
      </w:r>
      <w:r w:rsidR="008D5083" w:rsidRPr="008D5083">
        <w:rPr>
          <w:b w:val="0"/>
          <w:i/>
          <w:sz w:val="28"/>
          <w:szCs w:val="28"/>
        </w:rPr>
        <w:t>Надання фінансової підтримки громадським організаціям, які опікуються учасниками АТО, ООС та членами сімей загиблих учасників АТО,ООС, учасників бойових дій під час відсічі збройної агресії проти України або ліквідації (нейтралізації) збройного конфлікту</w:t>
      </w:r>
      <w:r w:rsidR="008D5083" w:rsidRPr="008D5083">
        <w:rPr>
          <w:b w:val="0"/>
          <w:sz w:val="28"/>
          <w:szCs w:val="28"/>
        </w:rPr>
        <w:t>» у 5 стовбці цифру «50,0» замінити на цифру «500,00»</w:t>
      </w:r>
      <w:r w:rsidR="008D5083">
        <w:rPr>
          <w:b w:val="0"/>
          <w:sz w:val="28"/>
          <w:szCs w:val="28"/>
        </w:rPr>
        <w:t>; у стрічці «Всього» у 5 стовбці цифру «7 150,0» замінити на цифру «7 600,00»</w:t>
      </w:r>
      <w:r w:rsidR="008D5083" w:rsidRPr="008D5083">
        <w:rPr>
          <w:b w:val="0"/>
          <w:sz w:val="28"/>
          <w:szCs w:val="28"/>
        </w:rPr>
        <w:t xml:space="preserve"> </w:t>
      </w:r>
      <w:r w:rsidR="00496F3A" w:rsidRPr="008D5083">
        <w:rPr>
          <w:rStyle w:val="afd"/>
          <w:rFonts w:eastAsia="Arial Unicode MS"/>
          <w:b w:val="0"/>
          <w:sz w:val="28"/>
          <w:szCs w:val="28"/>
          <w:u w:val="none"/>
        </w:rPr>
        <w:t>.</w:t>
      </w:r>
    </w:p>
    <w:p w:rsidR="008D5083" w:rsidRPr="008D5083" w:rsidRDefault="008D5083" w:rsidP="008D5083">
      <w:pPr>
        <w:pStyle w:val="af1"/>
        <w:ind w:left="0" w:firstLine="851"/>
        <w:jc w:val="both"/>
        <w:rPr>
          <w:sz w:val="28"/>
          <w:szCs w:val="28"/>
          <w:lang w:eastAsia="en-GB"/>
        </w:rPr>
      </w:pPr>
      <w:r w:rsidRPr="008D5083">
        <w:rPr>
          <w:rStyle w:val="afd"/>
          <w:rFonts w:eastAsia="Arial Unicode MS"/>
          <w:sz w:val="28"/>
          <w:szCs w:val="28"/>
          <w:u w:val="none"/>
        </w:rPr>
        <w:t xml:space="preserve">3.2. У Паспорті </w:t>
      </w:r>
      <w:r w:rsidRPr="00AC10F9">
        <w:rPr>
          <w:rStyle w:val="afd"/>
          <w:rFonts w:eastAsia="Arial Unicode MS"/>
          <w:b/>
          <w:sz w:val="28"/>
          <w:szCs w:val="28"/>
          <w:u w:val="none"/>
        </w:rPr>
        <w:t>Програми 3</w:t>
      </w:r>
      <w:r w:rsidRPr="008D5083">
        <w:rPr>
          <w:rStyle w:val="afd"/>
          <w:rFonts w:eastAsia="Arial Unicode MS"/>
          <w:sz w:val="28"/>
          <w:szCs w:val="28"/>
          <w:u w:val="none"/>
        </w:rPr>
        <w:t xml:space="preserve"> у пункті 8 «</w:t>
      </w:r>
      <w:r w:rsidRPr="008D5083">
        <w:rPr>
          <w:sz w:val="28"/>
          <w:szCs w:val="28"/>
          <w:lang w:eastAsia="en-GB"/>
        </w:rPr>
        <w:t>Обсяг фінансового ресурсу Програми на 2024 рік»</w:t>
      </w:r>
      <w:r>
        <w:rPr>
          <w:sz w:val="28"/>
          <w:szCs w:val="28"/>
          <w:lang w:eastAsia="en-GB"/>
        </w:rPr>
        <w:t xml:space="preserve"> цифру «7 150 000,0» замінити на цифру «7 600 000,0»</w:t>
      </w:r>
    </w:p>
    <w:p w:rsidR="00561CAC" w:rsidRDefault="00561CAC" w:rsidP="008D5083">
      <w:pPr>
        <w:pStyle w:val="af5"/>
        <w:numPr>
          <w:ilvl w:val="0"/>
          <w:numId w:val="34"/>
        </w:numPr>
        <w:autoSpaceDE w:val="0"/>
        <w:autoSpaceDN w:val="0"/>
        <w:adjustRightInd w:val="0"/>
        <w:spacing w:before="0" w:beforeAutospacing="0" w:after="40" w:afterAutospacing="0"/>
        <w:ind w:left="0" w:right="-2" w:firstLine="851"/>
        <w:jc w:val="both"/>
        <w:rPr>
          <w:sz w:val="28"/>
          <w:szCs w:val="28"/>
        </w:rPr>
      </w:pPr>
      <w:r w:rsidRPr="00291DA2">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291DA2" w:rsidRDefault="00720A5C" w:rsidP="008D5083">
      <w:pPr>
        <w:pStyle w:val="af5"/>
        <w:numPr>
          <w:ilvl w:val="0"/>
          <w:numId w:val="34"/>
        </w:numPr>
        <w:autoSpaceDE w:val="0"/>
        <w:autoSpaceDN w:val="0"/>
        <w:adjustRightInd w:val="0"/>
        <w:spacing w:before="0" w:beforeAutospacing="0" w:after="40" w:afterAutospacing="0"/>
        <w:ind w:left="0" w:right="-2" w:firstLine="851"/>
        <w:jc w:val="both"/>
        <w:rPr>
          <w:sz w:val="28"/>
          <w:szCs w:val="28"/>
        </w:rPr>
      </w:pPr>
      <w:r w:rsidRPr="00291DA2">
        <w:rPr>
          <w:color w:val="000000"/>
          <w:sz w:val="28"/>
          <w:szCs w:val="28"/>
        </w:rPr>
        <w:t xml:space="preserve">Рішення набирає чинності з дня оприлюднення на офіційному </w:t>
      </w:r>
      <w:proofErr w:type="spellStart"/>
      <w:r w:rsidRPr="00291DA2">
        <w:rPr>
          <w:color w:val="000000"/>
          <w:sz w:val="28"/>
          <w:szCs w:val="28"/>
        </w:rPr>
        <w:t>веб-сайті</w:t>
      </w:r>
      <w:proofErr w:type="spellEnd"/>
      <w:r w:rsidRPr="00291DA2">
        <w:rPr>
          <w:color w:val="000000"/>
          <w:sz w:val="28"/>
          <w:szCs w:val="28"/>
        </w:rPr>
        <w:t xml:space="preserve"> </w:t>
      </w:r>
      <w:proofErr w:type="spellStart"/>
      <w:r w:rsidRPr="00291DA2">
        <w:rPr>
          <w:color w:val="000000"/>
          <w:sz w:val="28"/>
          <w:szCs w:val="28"/>
        </w:rPr>
        <w:t>Радехівської</w:t>
      </w:r>
      <w:proofErr w:type="spellEnd"/>
      <w:r w:rsidRPr="00291DA2">
        <w:rPr>
          <w:color w:val="000000"/>
          <w:sz w:val="28"/>
          <w:szCs w:val="28"/>
        </w:rPr>
        <w:t xml:space="preserve"> міської ради.</w:t>
      </w:r>
    </w:p>
    <w:p w:rsidR="001F6CF0" w:rsidRPr="001F6CF0" w:rsidRDefault="001F6CF0" w:rsidP="00FF11FC">
      <w:pPr>
        <w:spacing w:line="360" w:lineRule="auto"/>
        <w:ind w:right="-2" w:firstLine="851"/>
        <w:rPr>
          <w:b/>
          <w:sz w:val="28"/>
          <w:szCs w:val="28"/>
        </w:rPr>
      </w:pPr>
    </w:p>
    <w:p w:rsidR="00361FE7" w:rsidRDefault="00361FE7" w:rsidP="00064529">
      <w:pPr>
        <w:spacing w:line="360" w:lineRule="auto"/>
        <w:ind w:right="-2"/>
        <w:rPr>
          <w:b/>
          <w:sz w:val="28"/>
          <w:szCs w:val="28"/>
        </w:rPr>
      </w:pPr>
    </w:p>
    <w:p w:rsidR="00720A5C" w:rsidRDefault="00720A5C" w:rsidP="00064529">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Pr>
          <w:b/>
          <w:sz w:val="28"/>
          <w:szCs w:val="28"/>
        </w:rPr>
        <w:tab/>
      </w:r>
      <w:r w:rsidRPr="00B913E9">
        <w:rPr>
          <w:b/>
          <w:sz w:val="28"/>
          <w:szCs w:val="28"/>
        </w:rPr>
        <w:tab/>
      </w:r>
      <w:r>
        <w:rPr>
          <w:b/>
          <w:sz w:val="28"/>
          <w:szCs w:val="28"/>
        </w:rPr>
        <w:t>Степан КОХАНЧУК</w:t>
      </w:r>
    </w:p>
    <w:p w:rsidR="007D7959" w:rsidRDefault="007D7959" w:rsidP="00064529">
      <w:pPr>
        <w:spacing w:line="360" w:lineRule="auto"/>
        <w:ind w:right="-2"/>
        <w:rPr>
          <w:b/>
          <w:sz w:val="28"/>
          <w:szCs w:val="28"/>
        </w:rPr>
      </w:pPr>
    </w:p>
    <w:sectPr w:rsidR="007D7959" w:rsidSect="007D7959">
      <w:headerReference w:type="default" r:id="rId9"/>
      <w:pgSz w:w="11906" w:h="16838"/>
      <w:pgMar w:top="425" w:right="566" w:bottom="709" w:left="993"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B3F" w:rsidRDefault="00344B3F">
      <w:r>
        <w:separator/>
      </w:r>
    </w:p>
  </w:endnote>
  <w:endnote w:type="continuationSeparator" w:id="0">
    <w:p w:rsidR="00344B3F" w:rsidRDefault="00344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altName w:val="Corbe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B3F" w:rsidRDefault="00344B3F">
      <w:r>
        <w:separator/>
      </w:r>
    </w:p>
  </w:footnote>
  <w:footnote w:type="continuationSeparator" w:id="0">
    <w:p w:rsidR="00344B3F" w:rsidRDefault="00344B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3">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5">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6">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1">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5">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7">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3">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4"/>
  </w:num>
  <w:num w:numId="2">
    <w:abstractNumId w:val="3"/>
  </w:num>
  <w:num w:numId="3">
    <w:abstractNumId w:val="12"/>
  </w:num>
  <w:num w:numId="4">
    <w:abstractNumId w:val="16"/>
  </w:num>
  <w:num w:numId="5">
    <w:abstractNumId w:val="2"/>
  </w:num>
  <w:num w:numId="6">
    <w:abstractNumId w:val="10"/>
  </w:num>
  <w:num w:numId="7">
    <w:abstractNumId w:val="13"/>
  </w:num>
  <w:num w:numId="8">
    <w:abstractNumId w:val="20"/>
  </w:num>
  <w:num w:numId="9">
    <w:abstractNumId w:val="25"/>
  </w:num>
  <w:num w:numId="10">
    <w:abstractNumId w:val="18"/>
  </w:num>
  <w:num w:numId="11">
    <w:abstractNumId w:val="30"/>
  </w:num>
  <w:num w:numId="12">
    <w:abstractNumId w:val="11"/>
  </w:num>
  <w:num w:numId="13">
    <w:abstractNumId w:val="4"/>
  </w:num>
  <w:num w:numId="14">
    <w:abstractNumId w:val="32"/>
  </w:num>
  <w:num w:numId="15">
    <w:abstractNumId w:val="6"/>
  </w:num>
  <w:num w:numId="16">
    <w:abstractNumId w:val="21"/>
  </w:num>
  <w:num w:numId="17">
    <w:abstractNumId w:val="1"/>
  </w:num>
  <w:num w:numId="18">
    <w:abstractNumId w:val="33"/>
  </w:num>
  <w:num w:numId="19">
    <w:abstractNumId w:val="27"/>
  </w:num>
  <w:num w:numId="20">
    <w:abstractNumId w:val="31"/>
  </w:num>
  <w:num w:numId="21">
    <w:abstractNumId w:val="8"/>
  </w:num>
  <w:num w:numId="22">
    <w:abstractNumId w:val="15"/>
  </w:num>
  <w:num w:numId="23">
    <w:abstractNumId w:val="29"/>
  </w:num>
  <w:num w:numId="24">
    <w:abstractNumId w:val="28"/>
  </w:num>
  <w:num w:numId="25">
    <w:abstractNumId w:val="7"/>
  </w:num>
  <w:num w:numId="26">
    <w:abstractNumId w:val="9"/>
  </w:num>
  <w:num w:numId="27">
    <w:abstractNumId w:val="0"/>
  </w:num>
  <w:num w:numId="28">
    <w:abstractNumId w:val="26"/>
  </w:num>
  <w:num w:numId="29">
    <w:abstractNumId w:val="23"/>
  </w:num>
  <w:num w:numId="30">
    <w:abstractNumId w:val="19"/>
  </w:num>
  <w:num w:numId="31">
    <w:abstractNumId w:val="5"/>
  </w:num>
  <w:num w:numId="32">
    <w:abstractNumId w:val="22"/>
  </w:num>
  <w:num w:numId="33">
    <w:abstractNumId w:val="24"/>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25F8F"/>
    <w:rsid w:val="00032ED4"/>
    <w:rsid w:val="00035310"/>
    <w:rsid w:val="00042B31"/>
    <w:rsid w:val="00045487"/>
    <w:rsid w:val="000470DD"/>
    <w:rsid w:val="00052725"/>
    <w:rsid w:val="000607F5"/>
    <w:rsid w:val="0006106E"/>
    <w:rsid w:val="00064529"/>
    <w:rsid w:val="00074379"/>
    <w:rsid w:val="00080977"/>
    <w:rsid w:val="000905D4"/>
    <w:rsid w:val="000A331E"/>
    <w:rsid w:val="000A73B5"/>
    <w:rsid w:val="000B07DB"/>
    <w:rsid w:val="000B2E65"/>
    <w:rsid w:val="000C24AF"/>
    <w:rsid w:val="000C2B95"/>
    <w:rsid w:val="000C3CF9"/>
    <w:rsid w:val="000C6DF3"/>
    <w:rsid w:val="000E0BB1"/>
    <w:rsid w:val="000E2B2F"/>
    <w:rsid w:val="000E431F"/>
    <w:rsid w:val="000E539F"/>
    <w:rsid w:val="000F7098"/>
    <w:rsid w:val="001044C9"/>
    <w:rsid w:val="00105A7E"/>
    <w:rsid w:val="00110BAA"/>
    <w:rsid w:val="00111184"/>
    <w:rsid w:val="00112C67"/>
    <w:rsid w:val="00113E95"/>
    <w:rsid w:val="0012005C"/>
    <w:rsid w:val="00125676"/>
    <w:rsid w:val="0012584B"/>
    <w:rsid w:val="00127AB3"/>
    <w:rsid w:val="00133757"/>
    <w:rsid w:val="001467BF"/>
    <w:rsid w:val="001575B3"/>
    <w:rsid w:val="00163042"/>
    <w:rsid w:val="0017585B"/>
    <w:rsid w:val="00180E55"/>
    <w:rsid w:val="0018106E"/>
    <w:rsid w:val="00181AC1"/>
    <w:rsid w:val="001856B7"/>
    <w:rsid w:val="00186F2F"/>
    <w:rsid w:val="001901B1"/>
    <w:rsid w:val="001A2791"/>
    <w:rsid w:val="001A3BE6"/>
    <w:rsid w:val="001B024E"/>
    <w:rsid w:val="001B5CAA"/>
    <w:rsid w:val="001B70E3"/>
    <w:rsid w:val="001C700E"/>
    <w:rsid w:val="001D2E9A"/>
    <w:rsid w:val="001D7BE1"/>
    <w:rsid w:val="001D7ED5"/>
    <w:rsid w:val="001E37FE"/>
    <w:rsid w:val="001F5DC3"/>
    <w:rsid w:val="001F688F"/>
    <w:rsid w:val="001F6CF0"/>
    <w:rsid w:val="0020226B"/>
    <w:rsid w:val="00204EFC"/>
    <w:rsid w:val="00220CB8"/>
    <w:rsid w:val="002341A5"/>
    <w:rsid w:val="00237178"/>
    <w:rsid w:val="0025202D"/>
    <w:rsid w:val="002520DA"/>
    <w:rsid w:val="00256E18"/>
    <w:rsid w:val="00257C26"/>
    <w:rsid w:val="00260787"/>
    <w:rsid w:val="00260ED0"/>
    <w:rsid w:val="00263300"/>
    <w:rsid w:val="0027236A"/>
    <w:rsid w:val="0027772F"/>
    <w:rsid w:val="0028553F"/>
    <w:rsid w:val="002878AD"/>
    <w:rsid w:val="002907C5"/>
    <w:rsid w:val="00291DA2"/>
    <w:rsid w:val="002A1DB1"/>
    <w:rsid w:val="002B09BC"/>
    <w:rsid w:val="002B2F17"/>
    <w:rsid w:val="002B5808"/>
    <w:rsid w:val="002C1445"/>
    <w:rsid w:val="002C402C"/>
    <w:rsid w:val="002D1395"/>
    <w:rsid w:val="002D7A21"/>
    <w:rsid w:val="002E4D0A"/>
    <w:rsid w:val="002F3D1C"/>
    <w:rsid w:val="00344B3F"/>
    <w:rsid w:val="00344BB1"/>
    <w:rsid w:val="003470E4"/>
    <w:rsid w:val="00351533"/>
    <w:rsid w:val="00352325"/>
    <w:rsid w:val="00361FE7"/>
    <w:rsid w:val="00366515"/>
    <w:rsid w:val="00376C20"/>
    <w:rsid w:val="003806D6"/>
    <w:rsid w:val="0038086C"/>
    <w:rsid w:val="00380ABF"/>
    <w:rsid w:val="00383CB6"/>
    <w:rsid w:val="00383FB0"/>
    <w:rsid w:val="003924DC"/>
    <w:rsid w:val="003A20CB"/>
    <w:rsid w:val="003A5A29"/>
    <w:rsid w:val="003D5DB3"/>
    <w:rsid w:val="003D675D"/>
    <w:rsid w:val="003F1A85"/>
    <w:rsid w:val="004178C0"/>
    <w:rsid w:val="00432D20"/>
    <w:rsid w:val="0043473E"/>
    <w:rsid w:val="004509C0"/>
    <w:rsid w:val="00451179"/>
    <w:rsid w:val="00451A57"/>
    <w:rsid w:val="00453A39"/>
    <w:rsid w:val="0045424A"/>
    <w:rsid w:val="00457BD8"/>
    <w:rsid w:val="00465493"/>
    <w:rsid w:val="004662CC"/>
    <w:rsid w:val="00467D5D"/>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5115"/>
    <w:rsid w:val="004D0460"/>
    <w:rsid w:val="004D4A1A"/>
    <w:rsid w:val="004D612B"/>
    <w:rsid w:val="004E6528"/>
    <w:rsid w:val="00510FDD"/>
    <w:rsid w:val="005329EF"/>
    <w:rsid w:val="00541ADD"/>
    <w:rsid w:val="0054232C"/>
    <w:rsid w:val="00542C77"/>
    <w:rsid w:val="005438AF"/>
    <w:rsid w:val="005458F9"/>
    <w:rsid w:val="005463DA"/>
    <w:rsid w:val="00550C5A"/>
    <w:rsid w:val="00561CAC"/>
    <w:rsid w:val="0057176D"/>
    <w:rsid w:val="00574B13"/>
    <w:rsid w:val="00585845"/>
    <w:rsid w:val="005A0CE9"/>
    <w:rsid w:val="005B2D2F"/>
    <w:rsid w:val="005C351E"/>
    <w:rsid w:val="005C5F76"/>
    <w:rsid w:val="005E1E57"/>
    <w:rsid w:val="005E2B03"/>
    <w:rsid w:val="005F7128"/>
    <w:rsid w:val="006039F9"/>
    <w:rsid w:val="006218C5"/>
    <w:rsid w:val="00633CCC"/>
    <w:rsid w:val="00640FB9"/>
    <w:rsid w:val="00642262"/>
    <w:rsid w:val="0065193C"/>
    <w:rsid w:val="00656206"/>
    <w:rsid w:val="006600D8"/>
    <w:rsid w:val="00663EDE"/>
    <w:rsid w:val="00682029"/>
    <w:rsid w:val="00682807"/>
    <w:rsid w:val="00682FF2"/>
    <w:rsid w:val="00687C6E"/>
    <w:rsid w:val="00691668"/>
    <w:rsid w:val="006924BC"/>
    <w:rsid w:val="00693A4E"/>
    <w:rsid w:val="0069741C"/>
    <w:rsid w:val="006A0E9E"/>
    <w:rsid w:val="006A279B"/>
    <w:rsid w:val="006A311B"/>
    <w:rsid w:val="006A6738"/>
    <w:rsid w:val="006B00B9"/>
    <w:rsid w:val="006B6E72"/>
    <w:rsid w:val="006C1262"/>
    <w:rsid w:val="006C2C40"/>
    <w:rsid w:val="006C55CC"/>
    <w:rsid w:val="006C6D3F"/>
    <w:rsid w:val="006D56A0"/>
    <w:rsid w:val="006E5744"/>
    <w:rsid w:val="006F063F"/>
    <w:rsid w:val="006F32CC"/>
    <w:rsid w:val="006F5104"/>
    <w:rsid w:val="007005AD"/>
    <w:rsid w:val="00713F00"/>
    <w:rsid w:val="007175BA"/>
    <w:rsid w:val="00720A5C"/>
    <w:rsid w:val="007350B7"/>
    <w:rsid w:val="0074794C"/>
    <w:rsid w:val="00755B1C"/>
    <w:rsid w:val="007917D7"/>
    <w:rsid w:val="007A0BC5"/>
    <w:rsid w:val="007A7BE7"/>
    <w:rsid w:val="007B7419"/>
    <w:rsid w:val="007C293C"/>
    <w:rsid w:val="007C3312"/>
    <w:rsid w:val="007C3787"/>
    <w:rsid w:val="007C63EF"/>
    <w:rsid w:val="007D761A"/>
    <w:rsid w:val="007D7959"/>
    <w:rsid w:val="007E7756"/>
    <w:rsid w:val="007F0A88"/>
    <w:rsid w:val="007F0DA3"/>
    <w:rsid w:val="007F5D73"/>
    <w:rsid w:val="00806BC1"/>
    <w:rsid w:val="008249B5"/>
    <w:rsid w:val="00831614"/>
    <w:rsid w:val="008524B1"/>
    <w:rsid w:val="00854291"/>
    <w:rsid w:val="008568FE"/>
    <w:rsid w:val="00870623"/>
    <w:rsid w:val="00871D41"/>
    <w:rsid w:val="00880CA1"/>
    <w:rsid w:val="00894043"/>
    <w:rsid w:val="008A2152"/>
    <w:rsid w:val="008A24EF"/>
    <w:rsid w:val="008B5DA9"/>
    <w:rsid w:val="008B7DDC"/>
    <w:rsid w:val="008D5083"/>
    <w:rsid w:val="008D7927"/>
    <w:rsid w:val="008E1A0A"/>
    <w:rsid w:val="008E3D8F"/>
    <w:rsid w:val="008F4564"/>
    <w:rsid w:val="0090146C"/>
    <w:rsid w:val="0090459D"/>
    <w:rsid w:val="0090600D"/>
    <w:rsid w:val="009076B1"/>
    <w:rsid w:val="00912286"/>
    <w:rsid w:val="00926D9E"/>
    <w:rsid w:val="00927711"/>
    <w:rsid w:val="00931010"/>
    <w:rsid w:val="0095151E"/>
    <w:rsid w:val="009531C9"/>
    <w:rsid w:val="00955350"/>
    <w:rsid w:val="009573A6"/>
    <w:rsid w:val="009634E7"/>
    <w:rsid w:val="009762F6"/>
    <w:rsid w:val="0097772F"/>
    <w:rsid w:val="009824E6"/>
    <w:rsid w:val="009849C8"/>
    <w:rsid w:val="00990163"/>
    <w:rsid w:val="009908CB"/>
    <w:rsid w:val="009969E3"/>
    <w:rsid w:val="00996F82"/>
    <w:rsid w:val="009A50C9"/>
    <w:rsid w:val="009A60A1"/>
    <w:rsid w:val="009B159A"/>
    <w:rsid w:val="009B1E05"/>
    <w:rsid w:val="009C5041"/>
    <w:rsid w:val="009C63ED"/>
    <w:rsid w:val="009C722E"/>
    <w:rsid w:val="009D4FE8"/>
    <w:rsid w:val="009E06FE"/>
    <w:rsid w:val="009E1FC4"/>
    <w:rsid w:val="009E604B"/>
    <w:rsid w:val="00A04153"/>
    <w:rsid w:val="00A13A71"/>
    <w:rsid w:val="00A13B1C"/>
    <w:rsid w:val="00A17BA6"/>
    <w:rsid w:val="00A2619C"/>
    <w:rsid w:val="00A26450"/>
    <w:rsid w:val="00A321E6"/>
    <w:rsid w:val="00A3658F"/>
    <w:rsid w:val="00A40882"/>
    <w:rsid w:val="00A43887"/>
    <w:rsid w:val="00A44914"/>
    <w:rsid w:val="00A51C90"/>
    <w:rsid w:val="00A55C0F"/>
    <w:rsid w:val="00A57347"/>
    <w:rsid w:val="00A70E91"/>
    <w:rsid w:val="00A75ED5"/>
    <w:rsid w:val="00A828D6"/>
    <w:rsid w:val="00A82E30"/>
    <w:rsid w:val="00A84BC2"/>
    <w:rsid w:val="00A96EA0"/>
    <w:rsid w:val="00AA42C2"/>
    <w:rsid w:val="00AA5F36"/>
    <w:rsid w:val="00AA7483"/>
    <w:rsid w:val="00AC10F9"/>
    <w:rsid w:val="00AC4620"/>
    <w:rsid w:val="00AC64C2"/>
    <w:rsid w:val="00AD6D84"/>
    <w:rsid w:val="00AE39A7"/>
    <w:rsid w:val="00AF791D"/>
    <w:rsid w:val="00B00971"/>
    <w:rsid w:val="00B067FC"/>
    <w:rsid w:val="00B07745"/>
    <w:rsid w:val="00B23DA2"/>
    <w:rsid w:val="00B355DE"/>
    <w:rsid w:val="00B544A2"/>
    <w:rsid w:val="00B6430E"/>
    <w:rsid w:val="00B76E35"/>
    <w:rsid w:val="00B97258"/>
    <w:rsid w:val="00BA7C7D"/>
    <w:rsid w:val="00BB5887"/>
    <w:rsid w:val="00BC2DB3"/>
    <w:rsid w:val="00BC3886"/>
    <w:rsid w:val="00BD0712"/>
    <w:rsid w:val="00BD11C1"/>
    <w:rsid w:val="00BE1362"/>
    <w:rsid w:val="00BE3C83"/>
    <w:rsid w:val="00BE564D"/>
    <w:rsid w:val="00BE5762"/>
    <w:rsid w:val="00C00447"/>
    <w:rsid w:val="00C04CBD"/>
    <w:rsid w:val="00C1042F"/>
    <w:rsid w:val="00C108C9"/>
    <w:rsid w:val="00C1095F"/>
    <w:rsid w:val="00C265C8"/>
    <w:rsid w:val="00C40518"/>
    <w:rsid w:val="00C4687D"/>
    <w:rsid w:val="00C56DA3"/>
    <w:rsid w:val="00C63A77"/>
    <w:rsid w:val="00C704BD"/>
    <w:rsid w:val="00C721D2"/>
    <w:rsid w:val="00C772B9"/>
    <w:rsid w:val="00C86E15"/>
    <w:rsid w:val="00C91F02"/>
    <w:rsid w:val="00C92406"/>
    <w:rsid w:val="00C93E5B"/>
    <w:rsid w:val="00C96A0B"/>
    <w:rsid w:val="00CA0C8E"/>
    <w:rsid w:val="00CA1655"/>
    <w:rsid w:val="00CA23CC"/>
    <w:rsid w:val="00CA5A79"/>
    <w:rsid w:val="00CA7530"/>
    <w:rsid w:val="00CA7BD6"/>
    <w:rsid w:val="00CB1483"/>
    <w:rsid w:val="00CB430B"/>
    <w:rsid w:val="00CB7FAD"/>
    <w:rsid w:val="00CC224D"/>
    <w:rsid w:val="00CC5006"/>
    <w:rsid w:val="00CE5B36"/>
    <w:rsid w:val="00CF0A86"/>
    <w:rsid w:val="00CF485F"/>
    <w:rsid w:val="00D048B1"/>
    <w:rsid w:val="00D060FA"/>
    <w:rsid w:val="00D07BF6"/>
    <w:rsid w:val="00D15D40"/>
    <w:rsid w:val="00D16B38"/>
    <w:rsid w:val="00D30711"/>
    <w:rsid w:val="00D367DC"/>
    <w:rsid w:val="00D44DB8"/>
    <w:rsid w:val="00D47427"/>
    <w:rsid w:val="00D515FC"/>
    <w:rsid w:val="00D52F10"/>
    <w:rsid w:val="00D62BEB"/>
    <w:rsid w:val="00D67B54"/>
    <w:rsid w:val="00D76A6E"/>
    <w:rsid w:val="00D8414C"/>
    <w:rsid w:val="00D939A4"/>
    <w:rsid w:val="00D944FD"/>
    <w:rsid w:val="00D9733A"/>
    <w:rsid w:val="00DA0362"/>
    <w:rsid w:val="00DA4879"/>
    <w:rsid w:val="00DB17B7"/>
    <w:rsid w:val="00DB1CCE"/>
    <w:rsid w:val="00DB66E4"/>
    <w:rsid w:val="00DD1395"/>
    <w:rsid w:val="00DD3349"/>
    <w:rsid w:val="00DD5026"/>
    <w:rsid w:val="00DE2F86"/>
    <w:rsid w:val="00DF207A"/>
    <w:rsid w:val="00DF3961"/>
    <w:rsid w:val="00DF6A11"/>
    <w:rsid w:val="00DF7B87"/>
    <w:rsid w:val="00E0028B"/>
    <w:rsid w:val="00E0266B"/>
    <w:rsid w:val="00E0444B"/>
    <w:rsid w:val="00E04705"/>
    <w:rsid w:val="00E103F0"/>
    <w:rsid w:val="00E17909"/>
    <w:rsid w:val="00E30099"/>
    <w:rsid w:val="00E30539"/>
    <w:rsid w:val="00E3205A"/>
    <w:rsid w:val="00E527A7"/>
    <w:rsid w:val="00E55772"/>
    <w:rsid w:val="00E64135"/>
    <w:rsid w:val="00E6573E"/>
    <w:rsid w:val="00E7546B"/>
    <w:rsid w:val="00E75CF5"/>
    <w:rsid w:val="00E85198"/>
    <w:rsid w:val="00E91ADB"/>
    <w:rsid w:val="00E9597A"/>
    <w:rsid w:val="00E96E19"/>
    <w:rsid w:val="00EA2C6D"/>
    <w:rsid w:val="00EB0B09"/>
    <w:rsid w:val="00EC40A3"/>
    <w:rsid w:val="00EC48E4"/>
    <w:rsid w:val="00EC5891"/>
    <w:rsid w:val="00ED05E0"/>
    <w:rsid w:val="00ED48CE"/>
    <w:rsid w:val="00F12E4D"/>
    <w:rsid w:val="00F131D4"/>
    <w:rsid w:val="00F138BB"/>
    <w:rsid w:val="00F26F00"/>
    <w:rsid w:val="00F33121"/>
    <w:rsid w:val="00F420C3"/>
    <w:rsid w:val="00F442DC"/>
    <w:rsid w:val="00F529E9"/>
    <w:rsid w:val="00F550AC"/>
    <w:rsid w:val="00F559B1"/>
    <w:rsid w:val="00F55D65"/>
    <w:rsid w:val="00F60298"/>
    <w:rsid w:val="00F65353"/>
    <w:rsid w:val="00F70AA7"/>
    <w:rsid w:val="00F735D9"/>
    <w:rsid w:val="00F765E7"/>
    <w:rsid w:val="00F866D1"/>
    <w:rsid w:val="00F9489F"/>
    <w:rsid w:val="00FA1E07"/>
    <w:rsid w:val="00FB09C7"/>
    <w:rsid w:val="00FB4CD0"/>
    <w:rsid w:val="00FB7998"/>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0"/>
    <w:uiPriority w:val="99"/>
    <w:locked/>
    <w:rsid w:val="00DD3349"/>
    <w:rPr>
      <w:shd w:val="clear" w:color="auto" w:fill="FFFFFF"/>
    </w:rPr>
  </w:style>
  <w:style w:type="paragraph" w:customStyle="1" w:styleId="10">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F857A-88A4-489C-B9B1-162B47D8E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3</Pages>
  <Words>3725</Words>
  <Characters>2124</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21</cp:revision>
  <cp:lastPrinted>2023-11-15T08:09:00Z</cp:lastPrinted>
  <dcterms:created xsi:type="dcterms:W3CDTF">2023-10-16T16:37:00Z</dcterms:created>
  <dcterms:modified xsi:type="dcterms:W3CDTF">2024-02-19T15:03:00Z</dcterms:modified>
</cp:coreProperties>
</file>