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AC" w:rsidRPr="00855807" w:rsidRDefault="00C40BAC" w:rsidP="00C40BAC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rPr>
          <w:rFonts w:ascii="PF Square Sans Pro" w:eastAsia="Calibri" w:hAnsi="PF Square Sans Pro" w:cs="Arial"/>
          <w:b/>
        </w:rPr>
      </w:pPr>
      <w:bookmarkStart w:id="0" w:name="_GoBack"/>
      <w:r>
        <w:rPr>
          <w:rFonts w:ascii="PF Square Sans Pro" w:eastAsia="Calibri" w:hAnsi="PF Square Sans Pro" w:cs="Arial"/>
          <w:b/>
        </w:rPr>
        <w:t xml:space="preserve">«Дерево цілей» Стратегії </w:t>
      </w:r>
      <w:proofErr w:type="spellStart"/>
      <w:r>
        <w:rPr>
          <w:rFonts w:ascii="PF Square Sans Pro" w:eastAsia="Calibri" w:hAnsi="PF Square Sans Pro" w:cs="Arial"/>
          <w:b/>
        </w:rPr>
        <w:t>Радехівської</w:t>
      </w:r>
      <w:proofErr w:type="spellEnd"/>
      <w:r>
        <w:rPr>
          <w:rFonts w:ascii="PF Square Sans Pro" w:eastAsia="Calibri" w:hAnsi="PF Square Sans Pro" w:cs="Arial"/>
          <w:b/>
        </w:rPr>
        <w:t xml:space="preserve"> громади</w:t>
      </w:r>
    </w:p>
    <w:p w:rsidR="00C40BAC" w:rsidRPr="00894249" w:rsidRDefault="00C40BAC" w:rsidP="00C40BAC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PF Square Sans Pro" w:eastAsia="Calibri" w:hAnsi="PF Square Sans Pro" w:cs="Arial"/>
        </w:rPr>
      </w:pPr>
      <w:r w:rsidRPr="00894249">
        <w:rPr>
          <w:rFonts w:ascii="PF Square Sans Pro" w:eastAsia="Calibri" w:hAnsi="PF Square Sans Pro" w:cs="Arial"/>
          <w:u w:val="single"/>
        </w:rPr>
        <w:t>Стратегічна ціль 1.</w:t>
      </w:r>
      <w:r w:rsidRPr="00894249">
        <w:rPr>
          <w:rFonts w:ascii="PF Square Sans Pro" w:eastAsia="Calibri" w:hAnsi="PF Square Sans Pro" w:cs="Arial"/>
        </w:rPr>
        <w:t xml:space="preserve"> </w:t>
      </w:r>
      <w:bookmarkStart w:id="1" w:name="_Hlk78650573"/>
      <w:r w:rsidRPr="00894249">
        <w:rPr>
          <w:rFonts w:ascii="PF Square Sans Pro" w:eastAsia="Calibri" w:hAnsi="PF Square Sans Pro" w:cs="Arial"/>
        </w:rPr>
        <w:t>Розвинута та конкурентоздатна економіка</w:t>
      </w:r>
    </w:p>
    <w:p w:rsidR="00C40BAC" w:rsidRPr="00894249" w:rsidRDefault="00C40BAC" w:rsidP="00C40BAC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PF Square Sans Pro" w:eastAsia="Calibri" w:hAnsi="PF Square Sans Pro" w:cs="Arial"/>
        </w:rPr>
      </w:pPr>
      <w:r w:rsidRPr="00894249">
        <w:rPr>
          <w:rFonts w:ascii="PF Square Sans Pro" w:eastAsia="Calibri" w:hAnsi="PF Square Sans Pro" w:cs="Arial"/>
          <w:u w:val="single"/>
        </w:rPr>
        <w:t>Стратегічна ціль 2</w:t>
      </w:r>
      <w:r w:rsidRPr="00894249">
        <w:rPr>
          <w:rFonts w:ascii="PF Square Sans Pro" w:eastAsia="Calibri" w:hAnsi="PF Square Sans Pro" w:cs="Arial"/>
        </w:rPr>
        <w:t xml:space="preserve">  Розвиток людського потенціалу </w:t>
      </w:r>
    </w:p>
    <w:p w:rsidR="00C40BAC" w:rsidRPr="00894249" w:rsidRDefault="00C40BAC" w:rsidP="00C40BAC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PF Square Sans Pro" w:eastAsia="Calibri" w:hAnsi="PF Square Sans Pro" w:cs="Arial"/>
        </w:rPr>
      </w:pPr>
      <w:r w:rsidRPr="00894249">
        <w:rPr>
          <w:rFonts w:ascii="PF Square Sans Pro" w:eastAsia="Calibri" w:hAnsi="PF Square Sans Pro" w:cs="Arial"/>
          <w:u w:val="single"/>
        </w:rPr>
        <w:t>Стратегічна ціль 3.</w:t>
      </w:r>
      <w:r w:rsidRPr="00894249">
        <w:rPr>
          <w:rFonts w:ascii="PF Square Sans Pro" w:eastAsia="Calibri" w:hAnsi="PF Square Sans Pro" w:cs="Arial"/>
        </w:rPr>
        <w:t xml:space="preserve"> Сталий розвиток території</w:t>
      </w:r>
    </w:p>
    <w:bookmarkEnd w:id="1"/>
    <w:p w:rsidR="00C40BAC" w:rsidRPr="00855807" w:rsidRDefault="00C40BAC" w:rsidP="00C40BAC">
      <w:pPr>
        <w:shd w:val="clear" w:color="auto" w:fill="FFFFFF" w:themeFill="background1"/>
        <w:tabs>
          <w:tab w:val="left" w:pos="284"/>
        </w:tabs>
        <w:spacing w:after="0" w:line="240" w:lineRule="auto"/>
        <w:ind w:firstLine="425"/>
        <w:jc w:val="both"/>
        <w:rPr>
          <w:rFonts w:ascii="PF Square Sans Pro" w:eastAsia="Calibri" w:hAnsi="PF Square Sans Pro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683"/>
        <w:gridCol w:w="5226"/>
      </w:tblGrid>
      <w:tr w:rsidR="00C40BAC" w:rsidRPr="00855807" w:rsidTr="008B5218">
        <w:trPr>
          <w:trHeight w:val="1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ind w:firstLine="425"/>
              <w:rPr>
                <w:rFonts w:ascii="PF Square Sans Pro" w:eastAsia="Calibri" w:hAnsi="PF Square Sans Pro" w:cs="Times New Roman"/>
                <w:b/>
              </w:rPr>
            </w:pPr>
            <w:r w:rsidRPr="00855807">
              <w:rPr>
                <w:rFonts w:ascii="PF Square Sans Pro" w:eastAsia="Calibri" w:hAnsi="PF Square Sans Pro" w:cs="Times New Roman"/>
                <w:b/>
              </w:rPr>
              <w:t>Стратегічна ціль 1. Розвинута та конкурентоздатна економіка</w:t>
            </w:r>
          </w:p>
        </w:tc>
      </w:tr>
      <w:tr w:rsidR="00C40BAC" w:rsidRPr="00855807" w:rsidTr="008B5218">
        <w:trPr>
          <w:trHeight w:val="44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jc w:val="center"/>
              <w:rPr>
                <w:rFonts w:ascii="PF Square Sans Pro" w:eastAsia="Calibri" w:hAnsi="PF Square Sans Pro" w:cs="Times New Roman"/>
                <w:b/>
              </w:rPr>
            </w:pPr>
            <w:r w:rsidRPr="00855807">
              <w:rPr>
                <w:rFonts w:ascii="PF Square Sans Pro" w:eastAsia="Calibri" w:hAnsi="PF Square Sans Pro" w:cs="Times New Roman"/>
                <w:b/>
              </w:rPr>
              <w:t>Операційні цілі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jc w:val="center"/>
              <w:rPr>
                <w:rFonts w:ascii="PF Square Sans Pro" w:eastAsia="Calibri" w:hAnsi="PF Square Sans Pro" w:cs="Times New Roman"/>
                <w:b/>
              </w:rPr>
            </w:pPr>
            <w:r w:rsidRPr="00855807">
              <w:rPr>
                <w:rFonts w:ascii="PF Square Sans Pro" w:eastAsia="Calibri" w:hAnsi="PF Square Sans Pro" w:cs="Times New Roman"/>
                <w:b/>
              </w:rPr>
              <w:t>Завдання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99"/>
              </w:tabs>
              <w:spacing w:after="0" w:line="256" w:lineRule="auto"/>
              <w:jc w:val="center"/>
              <w:rPr>
                <w:rFonts w:ascii="PF Square Sans Pro" w:eastAsia="Calibri" w:hAnsi="PF Square Sans Pro" w:cs="Times New Roman"/>
                <w:b/>
              </w:rPr>
            </w:pPr>
            <w:r w:rsidRPr="00855807">
              <w:rPr>
                <w:rFonts w:ascii="PF Square Sans Pro" w:eastAsia="Calibri" w:hAnsi="PF Square Sans Pro" w:cs="Times New Roman"/>
                <w:b/>
              </w:rPr>
              <w:t>Потенційні сфери реалізації</w:t>
            </w:r>
          </w:p>
        </w:tc>
      </w:tr>
      <w:tr w:rsidR="00C40BAC" w:rsidRPr="00855807" w:rsidTr="008B5218">
        <w:trPr>
          <w:trHeight w:val="1679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 xml:space="preserve">1.1. </w:t>
            </w:r>
            <w:bookmarkStart w:id="2" w:name="_Hlk79078796"/>
            <w:r w:rsidRPr="00855807">
              <w:rPr>
                <w:rFonts w:ascii="PF Square Sans Pro" w:eastAsia="Calibri" w:hAnsi="PF Square Sans Pro" w:cs="Times New Roman"/>
              </w:rPr>
              <w:t>Ефективний економічний простір</w:t>
            </w:r>
            <w:bookmarkEnd w:id="2"/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1.1.1. Інвентаризація та облік </w:t>
            </w:r>
            <w:r w:rsidRPr="00BA3B91">
              <w:rPr>
                <w:rFonts w:ascii="PF Square Sans Pro" w:eastAsia="Calibri" w:hAnsi="PF Square Sans Pro" w:cs="Times New Roman"/>
                <w:lang w:eastAsia="x-none"/>
              </w:rPr>
              <w:t xml:space="preserve">об’єктів </w:t>
            </w: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комунальн</w:t>
            </w:r>
            <w:r>
              <w:rPr>
                <w:rFonts w:ascii="PF Square Sans Pro" w:eastAsia="Calibri" w:hAnsi="PF Square Sans Pro" w:cs="Times New Roman"/>
                <w:lang w:eastAsia="x-none"/>
              </w:rPr>
              <w:t>ої власності</w:t>
            </w: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Сприяння паспортизації земель сільськогосподарського призначення</w:t>
            </w:r>
          </w:p>
          <w:p w:rsidR="00C40BAC" w:rsidRPr="00F01255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F01255">
              <w:rPr>
                <w:rFonts w:ascii="PF Square Sans Pro" w:eastAsia="Calibri" w:hAnsi="PF Square Sans Pro" w:cs="Times New Roman"/>
                <w:lang w:eastAsia="x-none"/>
              </w:rPr>
              <w:t xml:space="preserve">Інвентаризація та аудит комунальних </w:t>
            </w:r>
            <w:r w:rsidRPr="00BA3B91">
              <w:rPr>
                <w:rFonts w:ascii="PF Square Sans Pro" w:eastAsia="Calibri" w:hAnsi="PF Square Sans Pro" w:cs="Times New Roman"/>
                <w:lang w:eastAsia="x-none"/>
              </w:rPr>
              <w:t xml:space="preserve">об’єктів </w:t>
            </w:r>
            <w:r w:rsidRPr="00F01255">
              <w:rPr>
                <w:rFonts w:ascii="PF Square Sans Pro" w:eastAsia="Calibri" w:hAnsi="PF Square Sans Pro" w:cs="Times New Roman"/>
                <w:lang w:eastAsia="x-none"/>
              </w:rPr>
              <w:t>(земельних ділянок, рухомого та нерухомого майна)</w:t>
            </w:r>
          </w:p>
          <w:p w:rsidR="00C40BAC" w:rsidRPr="00F20D7A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Створення</w:t>
            </w:r>
            <w:r w:rsidRPr="00F20D7A">
              <w:rPr>
                <w:rFonts w:ascii="PF Square Sans Pro" w:eastAsia="Calibri" w:hAnsi="PF Square Sans Pro" w:cs="Times New Roman"/>
                <w:lang w:eastAsia="x-none"/>
              </w:rPr>
              <w:t xml:space="preserve"> інвестиційн</w:t>
            </w:r>
            <w:r>
              <w:rPr>
                <w:rFonts w:ascii="PF Square Sans Pro" w:eastAsia="Calibri" w:hAnsi="PF Square Sans Pro" w:cs="Times New Roman"/>
                <w:lang w:eastAsia="x-none"/>
              </w:rPr>
              <w:t>ого</w:t>
            </w:r>
            <w:r w:rsidRPr="00F20D7A">
              <w:rPr>
                <w:rFonts w:ascii="PF Square Sans Pro" w:eastAsia="Calibri" w:hAnsi="PF Square Sans Pro" w:cs="Times New Roman"/>
                <w:lang w:eastAsia="x-none"/>
              </w:rPr>
              <w:t xml:space="preserve"> паспорт</w:t>
            </w:r>
            <w:r>
              <w:rPr>
                <w:rFonts w:ascii="PF Square Sans Pro" w:eastAsia="Calibri" w:hAnsi="PF Square Sans Pro" w:cs="Times New Roman"/>
                <w:lang w:eastAsia="x-none"/>
              </w:rPr>
              <w:t>у громади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Розробка привабливих інвестиційних пропозицій </w:t>
            </w:r>
          </w:p>
        </w:tc>
      </w:tr>
      <w:tr w:rsidR="00C40BAC" w:rsidRPr="00855807" w:rsidTr="008B5218">
        <w:trPr>
          <w:trHeight w:val="2114"/>
        </w:trPr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460861" w:rsidRDefault="00C40BAC" w:rsidP="008B521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PF Square Sans Pro" w:eastAsia="Calibri" w:hAnsi="PF Square Sans Pro" w:cs="Times New Roman"/>
                <w:strike/>
                <w:lang w:eastAsia="x-none"/>
              </w:rPr>
            </w:pPr>
            <w:r w:rsidRPr="00460861">
              <w:rPr>
                <w:rFonts w:ascii="PF Square Sans Pro" w:eastAsia="Calibri" w:hAnsi="PF Square Sans Pro" w:cs="Times New Roman"/>
                <w:lang w:eastAsia="x-none"/>
              </w:rPr>
              <w:t>1.1.2. Маркетинг економічного потенціалу громади</w:t>
            </w:r>
          </w:p>
          <w:p w:rsidR="00C40BAC" w:rsidRPr="00460861" w:rsidRDefault="00C40BAC" w:rsidP="008B521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PF Square Sans Pro" w:eastAsia="Calibri" w:hAnsi="PF Square Sans Pro" w:cs="Times New Roman"/>
                <w:lang w:eastAsia="x-none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Налагодження партнерства з зарубіжними громадами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Покращення комунікації з представниками бізнесу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Організація </w:t>
            </w:r>
            <w:proofErr w:type="spellStart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промоційних</w:t>
            </w:r>
            <w:proofErr w:type="spellEnd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 кампаній (виставки, презентації, прес-конференції, спонсорські заходи) з залученням місцевого бізнесу  </w:t>
            </w:r>
          </w:p>
        </w:tc>
      </w:tr>
      <w:tr w:rsidR="00C40BAC" w:rsidRPr="00855807" w:rsidTr="008B5218">
        <w:trPr>
          <w:trHeight w:val="1684"/>
        </w:trPr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AC" w:rsidRPr="00460861" w:rsidRDefault="00C40BAC" w:rsidP="008B521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PF Square Sans Pro" w:eastAsia="Calibri" w:hAnsi="PF Square Sans Pro" w:cs="Times New Roman"/>
                <w:lang w:eastAsia="x-none"/>
              </w:rPr>
            </w:pPr>
            <w:r w:rsidRPr="00460861">
              <w:rPr>
                <w:rFonts w:ascii="PF Square Sans Pro" w:eastAsia="Calibri" w:hAnsi="PF Square Sans Pro" w:cs="Times New Roman"/>
                <w:lang w:eastAsia="x-none"/>
              </w:rPr>
              <w:t>1.1.3. Формування та розвиток логістичної інфраструктури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Розвиток транзитного потенціалу громади шляхом розбудови логістичної інфраструктури (склади, технопарки, </w:t>
            </w:r>
            <w:proofErr w:type="spellStart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навантажувально</w:t>
            </w:r>
            <w:proofErr w:type="spellEnd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-розвантажувальні термінали тощо)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Активізація місцевої підприємницької ініціативи у сфері інфраструктурного забезпечення</w:t>
            </w:r>
          </w:p>
        </w:tc>
      </w:tr>
      <w:tr w:rsidR="00C40BAC" w:rsidRPr="00855807" w:rsidTr="008B5218">
        <w:trPr>
          <w:trHeight w:val="174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 xml:space="preserve">1.2. </w:t>
            </w:r>
            <w:bookmarkStart w:id="3" w:name="_Hlk79078859"/>
            <w:r w:rsidRPr="00855807">
              <w:rPr>
                <w:rFonts w:ascii="PF Square Sans Pro" w:eastAsia="Calibri" w:hAnsi="PF Square Sans Pro" w:cs="Times New Roman"/>
              </w:rPr>
              <w:t>Конкурентоздатне мале і середнє підприємництво (МСП)</w:t>
            </w:r>
            <w:bookmarkEnd w:id="3"/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1.2.1.</w:t>
            </w:r>
            <w:r w:rsidRPr="00855807">
              <w:rPr>
                <w:rFonts w:ascii="PF Square Sans Pro" w:eastAsia="Calibri" w:hAnsi="PF Square Sans Pro" w:cs="Times New Roman"/>
              </w:rPr>
              <w:t xml:space="preserve"> </w:t>
            </w: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Розвиток інноваційного МСП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Допомога в залученні міжнародної донорської допомоги для розвитку інноваційного підприємництва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Створення системи ваучерної підтримки - надання інноваційних, маркетингових та консалтингових ваучерів (права на безповоротну фінансову допомогу для підприємців)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Консультаційна допомога для підприємців щодо отримання дозволів, доступу до оренди та вигідних кредитів тощо</w:t>
            </w:r>
          </w:p>
          <w:p w:rsidR="00C40BAC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Забезпечення надання фінансово-кредитної підтримки, зокрема, відшкодування відсоткових ставок за кредитами, мікрокредитування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9E0710">
              <w:rPr>
                <w:rFonts w:ascii="PF Square Sans Pro" w:eastAsia="Calibri" w:hAnsi="PF Square Sans Pro" w:cs="Times New Roman"/>
                <w:bCs/>
                <w:lang w:eastAsia="x-none"/>
              </w:rPr>
              <w:t>Підтримка розвитку «зеленого туризму»</w:t>
            </w:r>
          </w:p>
        </w:tc>
      </w:tr>
      <w:tr w:rsidR="00C40BAC" w:rsidRPr="00855807" w:rsidTr="008B5218">
        <w:trPr>
          <w:trHeight w:val="2818"/>
        </w:trPr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1.2.2. Розвиток сталого сільськогосподарського виробництва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Проведення заходів з популяризації ресурсозберігаючого виробництва, зокрема технологій - </w:t>
            </w:r>
            <w:proofErr w:type="spellStart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Mini-till</w:t>
            </w:r>
            <w:proofErr w:type="spellEnd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, </w:t>
            </w:r>
            <w:proofErr w:type="spellStart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No-till</w:t>
            </w:r>
            <w:proofErr w:type="spellEnd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, </w:t>
            </w:r>
            <w:proofErr w:type="spellStart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Strip-till</w:t>
            </w:r>
            <w:proofErr w:type="spellEnd"/>
          </w:p>
          <w:p w:rsidR="00C40BAC" w:rsidRPr="00A1317C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A1317C">
              <w:rPr>
                <w:rFonts w:ascii="PF Square Sans Pro" w:eastAsia="Calibri" w:hAnsi="PF Square Sans Pro" w:cs="Times New Roman"/>
                <w:lang w:eastAsia="x-none"/>
              </w:rPr>
              <w:t xml:space="preserve">Сприяння розвитку інфраструктури </w:t>
            </w: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переробки та </w:t>
            </w:r>
            <w:r w:rsidRPr="00A1317C">
              <w:rPr>
                <w:rFonts w:ascii="PF Square Sans Pro" w:eastAsia="Calibri" w:hAnsi="PF Square Sans Pro" w:cs="Times New Roman"/>
                <w:lang w:eastAsia="x-none"/>
              </w:rPr>
              <w:t>зберігання</w:t>
            </w: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 сільськогосподарської продукції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Створення механізмів розвитку тваринництва (заохочення створення кооперативів молочної та м'ясної</w:t>
            </w:r>
            <w:r w:rsidRPr="00855807">
              <w:rPr>
                <w:rFonts w:ascii="Cambria" w:eastAsia="Calibri" w:hAnsi="Cambria" w:cs="Cambria"/>
                <w:lang w:eastAsia="x-none"/>
              </w:rPr>
              <w:t> </w:t>
            </w: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спеціалізації)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Підтримка приватних сімейних фермерських господарств </w:t>
            </w:r>
          </w:p>
        </w:tc>
      </w:tr>
      <w:tr w:rsidR="00C40BAC" w:rsidRPr="00855807" w:rsidTr="008B5218">
        <w:trPr>
          <w:trHeight w:val="3396"/>
        </w:trPr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1.2.3.</w:t>
            </w:r>
            <w:r w:rsidRPr="00855807">
              <w:rPr>
                <w:rFonts w:ascii="PF Square Sans Pro" w:eastAsia="Calibri" w:hAnsi="PF Square Sans Pro" w:cs="Times New Roman"/>
              </w:rPr>
              <w:t xml:space="preserve"> </w:t>
            </w: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Розвиток інфраструктури</w:t>
            </w:r>
          </w:p>
          <w:p w:rsidR="00C40BAC" w:rsidRPr="00855807" w:rsidRDefault="00C40BAC" w:rsidP="008B5218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підтримки підприємництва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1048"/>
                <w:tab w:val="left" w:pos="1233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B84518">
              <w:rPr>
                <w:rFonts w:ascii="PF Square Sans Pro" w:eastAsia="Calibri" w:hAnsi="PF Square Sans Pro" w:cs="Times New Roman"/>
                <w:lang w:eastAsia="x-none"/>
              </w:rPr>
              <w:t xml:space="preserve">Проведення майстер-класів та презентацій спрямованих на популяризацію культури підприємництва </w:t>
            </w: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Створення центрів/агенцій підтримки малого і середнього  бізнесу  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1048"/>
                <w:tab w:val="left" w:pos="1233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Надання інформаційних та консультаційних послуг з питань започаткування та ведення підприємницької  діяльності та підготовки бізнес-планів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1048"/>
                <w:tab w:val="left" w:pos="1233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Поширення практики безоплатного надання інформації та консультацій для підприємців, а також для осіб, які планують започаткувати власну справу на базі </w:t>
            </w:r>
            <w:proofErr w:type="spellStart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ЦНАПів</w:t>
            </w:r>
            <w:proofErr w:type="spellEnd"/>
          </w:p>
        </w:tc>
      </w:tr>
      <w:tr w:rsidR="00C40BAC" w:rsidRPr="00855807" w:rsidTr="008B5218">
        <w:trPr>
          <w:trHeight w:val="1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40BAC" w:rsidRPr="00855807" w:rsidRDefault="00C40BAC" w:rsidP="008B5218">
            <w:pPr>
              <w:tabs>
                <w:tab w:val="left" w:pos="383"/>
                <w:tab w:val="left" w:pos="1048"/>
              </w:tabs>
              <w:spacing w:after="0" w:line="240" w:lineRule="auto"/>
              <w:ind w:left="27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  <w:b/>
              </w:rPr>
              <w:t>Стратегічна ціль 2</w:t>
            </w:r>
            <w:r w:rsidRPr="00460861">
              <w:rPr>
                <w:rFonts w:ascii="PF Square Sans Pro" w:eastAsia="Calibri" w:hAnsi="PF Square Sans Pro" w:cs="Times New Roman"/>
                <w:b/>
              </w:rPr>
              <w:t xml:space="preserve">. </w:t>
            </w:r>
            <w:r w:rsidRPr="007552F5">
              <w:rPr>
                <w:rFonts w:ascii="PF Square Sans Pro" w:eastAsia="Calibri" w:hAnsi="PF Square Sans Pro" w:cs="Times New Roman"/>
                <w:b/>
              </w:rPr>
              <w:t>Розвиток людського потенціалу</w:t>
            </w:r>
          </w:p>
        </w:tc>
      </w:tr>
      <w:tr w:rsidR="00C40BAC" w:rsidRPr="00855807" w:rsidTr="008B5218">
        <w:trPr>
          <w:trHeight w:val="448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</w:rPr>
            </w:pPr>
            <w:r w:rsidRPr="00855807">
              <w:rPr>
                <w:rFonts w:ascii="PF Square Sans Pro" w:eastAsia="Calibri" w:hAnsi="PF Square Sans Pro" w:cs="Times New Roman"/>
                <w:b/>
              </w:rPr>
              <w:t>Операційні цілі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jc w:val="center"/>
              <w:rPr>
                <w:rFonts w:ascii="PF Square Sans Pro" w:eastAsia="Calibri" w:hAnsi="PF Square Sans Pro" w:cs="Times New Roman"/>
                <w:b/>
              </w:rPr>
            </w:pPr>
            <w:r w:rsidRPr="00855807">
              <w:rPr>
                <w:rFonts w:ascii="PF Square Sans Pro" w:eastAsia="Calibri" w:hAnsi="PF Square Sans Pro" w:cs="Times New Roman"/>
                <w:b/>
              </w:rPr>
              <w:t>Завдання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383"/>
                <w:tab w:val="left" w:pos="1048"/>
              </w:tabs>
              <w:spacing w:after="0" w:line="256" w:lineRule="auto"/>
              <w:ind w:left="368"/>
              <w:contextualSpacing/>
              <w:jc w:val="center"/>
              <w:rPr>
                <w:rFonts w:ascii="PF Square Sans Pro" w:eastAsia="Calibri" w:hAnsi="PF Square Sans Pro" w:cs="Times New Roman"/>
                <w:b/>
              </w:rPr>
            </w:pPr>
            <w:r w:rsidRPr="00855807">
              <w:rPr>
                <w:rFonts w:ascii="PF Square Sans Pro" w:eastAsia="Calibri" w:hAnsi="PF Square Sans Pro" w:cs="Times New Roman"/>
                <w:b/>
              </w:rPr>
              <w:t>Потенційні сфери реалізації</w:t>
            </w:r>
          </w:p>
        </w:tc>
      </w:tr>
      <w:tr w:rsidR="00C40BAC" w:rsidRPr="00855807" w:rsidTr="008B5218">
        <w:trPr>
          <w:trHeight w:val="3513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2.1. Сучасний освітній простір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 xml:space="preserve">2.1.1. Формування спроможної та ефективної </w:t>
            </w:r>
            <w:r>
              <w:rPr>
                <w:rFonts w:ascii="PF Square Sans Pro" w:eastAsia="Calibri" w:hAnsi="PF Square Sans Pro" w:cs="Times New Roman"/>
              </w:rPr>
              <w:t xml:space="preserve">освітньої </w:t>
            </w:r>
            <w:r w:rsidRPr="00855807">
              <w:rPr>
                <w:rFonts w:ascii="PF Square Sans Pro" w:eastAsia="Calibri" w:hAnsi="PF Square Sans Pro" w:cs="Times New Roman"/>
              </w:rPr>
              <w:t xml:space="preserve">мережі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0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Оптимізація мережі освітніх закладів</w:t>
            </w:r>
          </w:p>
          <w:p w:rsidR="00C40BAC" w:rsidRPr="00F01255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0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F01255">
              <w:rPr>
                <w:rFonts w:ascii="PF Square Sans Pro" w:eastAsia="Calibri" w:hAnsi="PF Square Sans Pro" w:cs="Times New Roman"/>
              </w:rPr>
              <w:t xml:space="preserve">Розширення і покращення матеріально-технічної закладів освіти </w:t>
            </w:r>
          </w:p>
          <w:p w:rsidR="00C40BAC" w:rsidRPr="00733D78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0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733D78">
              <w:rPr>
                <w:rFonts w:ascii="PF Square Sans Pro" w:eastAsia="Calibri" w:hAnsi="PF Square Sans Pro" w:cs="Times New Roman"/>
              </w:rPr>
              <w:t>Забезпечення ефективної системи підвезення учасників освітнього процесу через закупівлю шкільних автобусів та  оптимізацію маршрутів підвезення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0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Впровадження профільного навчання в старшій школі на базі двох-трьох центрів</w:t>
            </w:r>
          </w:p>
          <w:p w:rsidR="00C40BAC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0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9A29CC">
              <w:rPr>
                <w:rFonts w:ascii="PF Square Sans Pro" w:eastAsia="Calibri" w:hAnsi="PF Square Sans Pro" w:cs="Times New Roman"/>
              </w:rPr>
              <w:t xml:space="preserve">Забезпечення умов для залучення до роботи </w:t>
            </w:r>
            <w:r w:rsidRPr="00855807">
              <w:rPr>
                <w:rFonts w:ascii="PF Square Sans Pro" w:eastAsia="Calibri" w:hAnsi="PF Square Sans Pro" w:cs="Times New Roman"/>
              </w:rPr>
              <w:t xml:space="preserve">в громаді </w:t>
            </w:r>
            <w:r w:rsidRPr="009A29CC">
              <w:rPr>
                <w:rFonts w:ascii="PF Square Sans Pro" w:eastAsia="Calibri" w:hAnsi="PF Square Sans Pro" w:cs="Times New Roman"/>
              </w:rPr>
              <w:t xml:space="preserve">молодих спеціалістів </w:t>
            </w:r>
          </w:p>
          <w:p w:rsidR="00C40BAC" w:rsidRPr="00465735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0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465735">
              <w:rPr>
                <w:rFonts w:ascii="PF Square Sans Pro" w:hAnsi="PF Square Sans Pro"/>
              </w:rPr>
              <w:t>Стимулювання професійного розвитку педагогів через конкурси професійної майстерності тощо</w:t>
            </w:r>
          </w:p>
        </w:tc>
      </w:tr>
      <w:tr w:rsidR="00C40BAC" w:rsidRPr="00855807" w:rsidTr="008B5218">
        <w:trPr>
          <w:trHeight w:val="2398"/>
        </w:trPr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2.1.2. Покращення якості позашкільної освіти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F01255">
              <w:rPr>
                <w:rFonts w:ascii="PF Square Sans Pro" w:eastAsia="Calibri" w:hAnsi="PF Square Sans Pro" w:cs="Times New Roman"/>
              </w:rPr>
              <w:t xml:space="preserve">Розширення і покращення матеріально-технічної </w:t>
            </w:r>
            <w:r w:rsidRPr="00855807">
              <w:rPr>
                <w:rFonts w:ascii="PF Square Sans Pro" w:eastAsia="Calibri" w:hAnsi="PF Square Sans Pro" w:cs="Times New Roman"/>
              </w:rPr>
              <w:t xml:space="preserve">бази </w:t>
            </w:r>
            <w:r w:rsidRPr="00F01255">
              <w:rPr>
                <w:rFonts w:ascii="PF Square Sans Pro" w:eastAsia="Calibri" w:hAnsi="PF Square Sans Pro" w:cs="Times New Roman"/>
              </w:rPr>
              <w:t xml:space="preserve">закладів </w:t>
            </w:r>
            <w:r w:rsidRPr="00855807">
              <w:rPr>
                <w:rFonts w:ascii="PF Square Sans Pro" w:eastAsia="Calibri" w:hAnsi="PF Square Sans Pro" w:cs="Times New Roman"/>
              </w:rPr>
              <w:t xml:space="preserve">позашкільної освіти 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Трансформація</w:t>
            </w:r>
            <w:r w:rsidRPr="00733D78">
              <w:rPr>
                <w:rFonts w:ascii="PF Square Sans Pro" w:eastAsia="Calibri" w:hAnsi="PF Square Sans Pro" w:cs="Times New Roman"/>
              </w:rPr>
              <w:t xml:space="preserve"> закладів позашкільної освіти </w:t>
            </w:r>
            <w:r w:rsidRPr="00855807">
              <w:rPr>
                <w:rFonts w:ascii="PF Square Sans Pro" w:eastAsia="Calibri" w:hAnsi="PF Square Sans Pro" w:cs="Times New Roman"/>
              </w:rPr>
              <w:t>у</w:t>
            </w:r>
            <w:r w:rsidRPr="00733D78">
              <w:rPr>
                <w:rFonts w:ascii="PF Square Sans Pro" w:eastAsia="Calibri" w:hAnsi="PF Square Sans Pro" w:cs="Times New Roman"/>
              </w:rPr>
              <w:t xml:space="preserve"> центр</w:t>
            </w:r>
            <w:r w:rsidRPr="00855807">
              <w:rPr>
                <w:rFonts w:ascii="PF Square Sans Pro" w:eastAsia="Calibri" w:hAnsi="PF Square Sans Pro" w:cs="Times New Roman"/>
              </w:rPr>
              <w:t>и</w:t>
            </w:r>
            <w:r w:rsidRPr="00733D78">
              <w:rPr>
                <w:rFonts w:ascii="PF Square Sans Pro" w:eastAsia="Calibri" w:hAnsi="PF Square Sans Pro" w:cs="Times New Roman"/>
              </w:rPr>
              <w:t xml:space="preserve"> соціокультурної та громадянської діяльності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 xml:space="preserve">Збільшення охоплення позашкільною освітою в сільських населених пунктах 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Посилення допрофесійної підготовки, ранньої профілізації учнів</w:t>
            </w:r>
          </w:p>
        </w:tc>
      </w:tr>
      <w:tr w:rsidR="00C40BAC" w:rsidRPr="00855807" w:rsidTr="008B5218">
        <w:trPr>
          <w:trHeight w:val="976"/>
        </w:trPr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2.1.3. </w:t>
            </w:r>
            <w:r w:rsidRPr="00460861">
              <w:rPr>
                <w:rFonts w:ascii="PF Square Sans Pro" w:eastAsia="Calibri" w:hAnsi="PF Square Sans Pro" w:cs="Times New Roman"/>
                <w:lang w:eastAsia="x-none"/>
              </w:rPr>
              <w:t>Підвищення трудового потенціалу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Створення професійних курсів для учасників АТО (ООС)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Сприяння професійній орієнтації, працевлаштуванню молоді, її </w:t>
            </w:r>
            <w:proofErr w:type="spellStart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самозайнятості</w:t>
            </w:r>
            <w:proofErr w:type="spellEnd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, підвищенню рівня її конкурентоспроможності та професійного розвитку, отриманню відповідних компетенцій 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Налагодження співпраці освітніх закладів, центр</w:t>
            </w:r>
            <w:r w:rsidRPr="00855807">
              <w:rPr>
                <w:rFonts w:ascii="PF Square Sans Pro" w:hAnsi="PF Square Sans Pro"/>
                <w:lang w:eastAsia="x-none"/>
              </w:rPr>
              <w:t>у</w:t>
            </w: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 зайнятості та роботодавців у формуванні </w:t>
            </w:r>
            <w:r w:rsidRPr="00855807">
              <w:rPr>
                <w:rFonts w:ascii="PF Square Sans Pro" w:hAnsi="PF Square Sans Pro"/>
                <w:lang w:eastAsia="x-none"/>
              </w:rPr>
              <w:t xml:space="preserve">навчальних програм, програм </w:t>
            </w:r>
            <w:proofErr w:type="spellStart"/>
            <w:r w:rsidRPr="00855807">
              <w:rPr>
                <w:rFonts w:ascii="PF Square Sans Pro" w:hAnsi="PF Square Sans Pro"/>
                <w:lang w:eastAsia="x-none"/>
              </w:rPr>
              <w:t>перекваліфкації</w:t>
            </w:r>
            <w:proofErr w:type="spellEnd"/>
            <w:r w:rsidRPr="00855807">
              <w:rPr>
                <w:rFonts w:ascii="PF Square Sans Pro" w:hAnsi="PF Square Sans Pro"/>
                <w:lang w:eastAsia="x-none"/>
              </w:rPr>
              <w:t xml:space="preserve">, </w:t>
            </w: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системи виробничих практик та учнівства, особливо у сфері сільського господарства</w:t>
            </w:r>
          </w:p>
        </w:tc>
      </w:tr>
      <w:tr w:rsidR="00C40BAC" w:rsidRPr="00855807" w:rsidTr="008B5218">
        <w:trPr>
          <w:trHeight w:val="1117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2.2. Комплексне забезпечення здоров’я мешканців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2.2.1. Підвищення ефективності первинної ланки медичних закладів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60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 xml:space="preserve">Реконструкція, капітальний ремонт та модернізація обладнання </w:t>
            </w:r>
            <w:proofErr w:type="spellStart"/>
            <w:r w:rsidRPr="00855807">
              <w:rPr>
                <w:rFonts w:ascii="PF Square Sans Pro" w:eastAsia="Calibri" w:hAnsi="PF Square Sans Pro" w:cs="Times New Roman"/>
              </w:rPr>
              <w:t>ФАПів</w:t>
            </w:r>
            <w:proofErr w:type="spellEnd"/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608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hAnsi="PF Square Sans Pro"/>
              </w:rPr>
              <w:t>Розвиток кадрового потенціалу, створення умов для залучення молодих спеціалістів</w:t>
            </w:r>
          </w:p>
        </w:tc>
      </w:tr>
      <w:tr w:rsidR="00C40BAC" w:rsidRPr="00855807" w:rsidTr="008B5218">
        <w:trPr>
          <w:trHeight w:val="25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2.2.2. . Посилення спеціалізованої мережі медичних закладів (вторинна ланка, невідкладна допомога)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60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 xml:space="preserve">Покращення матеріально-технічної бази та обладнання </w:t>
            </w:r>
            <w:proofErr w:type="spellStart"/>
            <w:r w:rsidRPr="00855807">
              <w:rPr>
                <w:rFonts w:ascii="PF Square Sans Pro" w:eastAsia="Calibri" w:hAnsi="PF Square Sans Pro" w:cs="Times New Roman"/>
              </w:rPr>
              <w:t>Радехівської</w:t>
            </w:r>
            <w:proofErr w:type="spellEnd"/>
            <w:r w:rsidRPr="00855807">
              <w:rPr>
                <w:rFonts w:ascii="PF Square Sans Pro" w:eastAsia="Calibri" w:hAnsi="PF Square Sans Pro" w:cs="Times New Roman"/>
              </w:rPr>
              <w:t xml:space="preserve"> центральної лікарні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60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 xml:space="preserve">Розробка </w:t>
            </w:r>
            <w:proofErr w:type="spellStart"/>
            <w:r w:rsidRPr="00855807">
              <w:rPr>
                <w:rFonts w:ascii="PF Square Sans Pro" w:eastAsia="Calibri" w:hAnsi="PF Square Sans Pro" w:cs="Times New Roman"/>
              </w:rPr>
              <w:t>проєкту</w:t>
            </w:r>
            <w:proofErr w:type="spellEnd"/>
            <w:r w:rsidRPr="00855807">
              <w:rPr>
                <w:rFonts w:ascii="PF Square Sans Pro" w:eastAsia="Calibri" w:hAnsi="PF Square Sans Pro" w:cs="Times New Roman"/>
              </w:rPr>
              <w:t xml:space="preserve"> створення інфекційного відділення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608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hAnsi="PF Square Sans Pro"/>
              </w:rPr>
              <w:t>Впровадження механізмів підвищення фінансової спроможності медичних закладів та пошук додаткових джерел фінансування, зокрема грантової допомоги, впровадження окремих платних послуг</w:t>
            </w:r>
          </w:p>
        </w:tc>
      </w:tr>
      <w:tr w:rsidR="00C40BAC" w:rsidRPr="00855807" w:rsidTr="008B5218">
        <w:trPr>
          <w:trHeight w:val="3814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2.2.3. Розвиток фізичної культури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60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Підтримка командного спорту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60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Впровадження нових форм організації спортивної роботи шляхом створення спортивних клубів, центрів відновлення здоров'я та лікувальної фізкультури для населення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60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 xml:space="preserve">Популяризація здорового способу життя та подолання суспільної байдужості до здоров’я 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608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 xml:space="preserve">Облаштування спортивних споруд, майданчиків з тренажерним обладнанням, особливо в сільських населених пунктах 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608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Ремонт спортивних залів, майданчиків при закладах освіти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608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Благоустрій спортивних майданчиків в сільській місцевості</w:t>
            </w:r>
          </w:p>
        </w:tc>
      </w:tr>
      <w:tr w:rsidR="00C40BAC" w:rsidRPr="00855807" w:rsidTr="008B5218">
        <w:trPr>
          <w:trHeight w:val="3812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2.3. Трансформація культурного простору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2.3.1. Модернізація закладів культури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 xml:space="preserve">Сприяння створенню функціонально та організаційно нових моделей закладів культури (центрів культурних послуг, центрів творчості, креативних </w:t>
            </w:r>
            <w:proofErr w:type="spellStart"/>
            <w:r w:rsidRPr="00855807">
              <w:rPr>
                <w:rFonts w:ascii="PF Square Sans Pro" w:eastAsia="Calibri" w:hAnsi="PF Square Sans Pro" w:cs="Times New Roman"/>
              </w:rPr>
              <w:t>хабів</w:t>
            </w:r>
            <w:proofErr w:type="spellEnd"/>
            <w:r w:rsidRPr="00855807">
              <w:rPr>
                <w:rFonts w:ascii="PF Square Sans Pro" w:eastAsia="Calibri" w:hAnsi="PF Square Sans Pro" w:cs="Times New Roman"/>
              </w:rPr>
              <w:t>) на базі Народних домів в сільських населених пунктах громади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 xml:space="preserve">Забезпечення центрів дозвілля сучасною матеріально-технічною базою 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Забезпечення бібліотек необхідним обладнанням, комп’ютерною технікою, програмними засобами, доступом до Інтернету, оновлення бібліотечних фондів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Підвищення якості послуг у сфері культури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Створення умов для залучення молодих спеціалістів, особливо у сільських населених пунктах</w:t>
            </w:r>
          </w:p>
        </w:tc>
      </w:tr>
      <w:tr w:rsidR="00C40BAC" w:rsidRPr="00855807" w:rsidTr="008B5218">
        <w:trPr>
          <w:trHeight w:val="2264"/>
        </w:trPr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 xml:space="preserve">2.3.2. </w:t>
            </w:r>
            <w:r w:rsidRPr="000B6D8E">
              <w:rPr>
                <w:rFonts w:ascii="PF Square Sans Pro" w:eastAsia="Calibri" w:hAnsi="PF Square Sans Pro" w:cs="Times New Roman"/>
              </w:rPr>
              <w:t>Актуалізація культурної спадщини громади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0B6D8E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bCs/>
              </w:rPr>
            </w:pPr>
            <w:r w:rsidRPr="000B6D8E">
              <w:rPr>
                <w:rFonts w:ascii="PF Square Sans Pro" w:eastAsia="Calibri" w:hAnsi="PF Square Sans Pro" w:cs="Times New Roman"/>
              </w:rPr>
              <w:t>Проведення культурно-просвітницьких та мистецьких заходів</w:t>
            </w:r>
          </w:p>
          <w:p w:rsidR="00C40BAC" w:rsidRPr="000B6D8E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0B6D8E">
              <w:rPr>
                <w:rFonts w:ascii="PF Square Sans Pro" w:eastAsia="Calibri" w:hAnsi="PF Square Sans Pro" w:cs="Times New Roman"/>
              </w:rPr>
              <w:t xml:space="preserve">Підтримки заходів у рамках міжнародних, всеукраїнських, регіональних і місцевих фестивалів і конкурсів 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0B6D8E">
              <w:rPr>
                <w:rFonts w:ascii="PF Square Sans Pro" w:eastAsia="Calibri" w:hAnsi="PF Square Sans Pro" w:cs="Times New Roman"/>
              </w:rPr>
              <w:t>Залучення органів влади, громадян та приватної ініціативи до використання культурно-просвітницького, туристичного, економічного та іншого потенціалу культурної спадщини</w:t>
            </w:r>
          </w:p>
        </w:tc>
      </w:tr>
      <w:tr w:rsidR="00C40BAC" w:rsidRPr="00855807" w:rsidTr="008B5218">
        <w:trPr>
          <w:trHeight w:val="1971"/>
        </w:trPr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2.3.3 Збереження історично-архітектурних                                   пам’яток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>Проведення ремонту історико-архітектурних                                   пам’яток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>Створення системи нагляду за збереженням історичного спадку громади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99"/>
                <w:tab w:val="left" w:pos="284"/>
                <w:tab w:val="left" w:pos="486"/>
                <w:tab w:val="left" w:pos="1048"/>
                <w:tab w:val="left" w:pos="117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>Сприяння розвитку туристично-екскурсійного руху та популяризація пам’ятко-охоронної діяльності серед дітей та молоді</w:t>
            </w:r>
          </w:p>
        </w:tc>
      </w:tr>
      <w:tr w:rsidR="00C40BAC" w:rsidRPr="00855807" w:rsidTr="008B5218">
        <w:trPr>
          <w:trHeight w:val="1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40BAC" w:rsidRPr="00855807" w:rsidRDefault="00C40BAC" w:rsidP="008B5218">
            <w:pPr>
              <w:tabs>
                <w:tab w:val="left" w:pos="383"/>
                <w:tab w:val="left" w:pos="1048"/>
              </w:tabs>
              <w:spacing w:after="0" w:line="256" w:lineRule="auto"/>
              <w:ind w:left="27"/>
              <w:contextualSpacing/>
              <w:rPr>
                <w:rFonts w:ascii="PF Square Sans Pro" w:eastAsia="Calibri" w:hAnsi="PF Square Sans Pro" w:cs="Times New Roman"/>
                <w:b/>
              </w:rPr>
            </w:pPr>
            <w:r w:rsidRPr="00855807">
              <w:rPr>
                <w:rFonts w:ascii="PF Square Sans Pro" w:eastAsia="SimSun" w:hAnsi="PF Square Sans Pro" w:cs="Times New Roman"/>
                <w:b/>
                <w:bCs/>
                <w:kern w:val="2"/>
                <w:lang w:eastAsia="hi-IN" w:bidi="hi-IN"/>
              </w:rPr>
              <w:t>Стратегічна ціль 3. Сталий розвиток території</w:t>
            </w:r>
          </w:p>
        </w:tc>
      </w:tr>
      <w:tr w:rsidR="00C40BAC" w:rsidRPr="00855807" w:rsidTr="008B5218">
        <w:trPr>
          <w:trHeight w:val="17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PF Square Sans Pro" w:eastAsia="Calibri" w:hAnsi="PF Square Sans Pro" w:cs="Times New Roman"/>
                <w:b/>
              </w:rPr>
            </w:pPr>
            <w:r w:rsidRPr="00855807">
              <w:rPr>
                <w:rFonts w:ascii="PF Square Sans Pro" w:eastAsia="Calibri" w:hAnsi="PF Square Sans Pro" w:cs="Times New Roman"/>
                <w:b/>
              </w:rPr>
              <w:t>Операційні цілі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jc w:val="center"/>
              <w:rPr>
                <w:rFonts w:ascii="PF Square Sans Pro" w:eastAsia="Calibri" w:hAnsi="PF Square Sans Pro" w:cs="Times New Roman"/>
                <w:b/>
              </w:rPr>
            </w:pPr>
            <w:r w:rsidRPr="00855807">
              <w:rPr>
                <w:rFonts w:ascii="PF Square Sans Pro" w:eastAsia="Calibri" w:hAnsi="PF Square Sans Pro" w:cs="Times New Roman"/>
                <w:b/>
              </w:rPr>
              <w:t>Завдання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383"/>
                <w:tab w:val="left" w:pos="1048"/>
              </w:tabs>
              <w:spacing w:after="0" w:line="256" w:lineRule="auto"/>
              <w:ind w:left="368"/>
              <w:contextualSpacing/>
              <w:jc w:val="center"/>
              <w:rPr>
                <w:rFonts w:ascii="PF Square Sans Pro" w:eastAsia="Calibri" w:hAnsi="PF Square Sans Pro" w:cs="Times New Roman"/>
                <w:b/>
              </w:rPr>
            </w:pPr>
            <w:r w:rsidRPr="00855807">
              <w:rPr>
                <w:rFonts w:ascii="PF Square Sans Pro" w:eastAsia="Calibri" w:hAnsi="PF Square Sans Pro" w:cs="Times New Roman"/>
                <w:b/>
              </w:rPr>
              <w:t>Потенційні сфери реалізації</w:t>
            </w:r>
          </w:p>
        </w:tc>
      </w:tr>
      <w:tr w:rsidR="00C40BAC" w:rsidRPr="00855807" w:rsidTr="008B5218">
        <w:trPr>
          <w:trHeight w:val="383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lastRenderedPageBreak/>
              <w:t>3.1. Ефективна комунальна інфраструктура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3.1.1.</w:t>
            </w:r>
            <w:r>
              <w:rPr>
                <w:rFonts w:ascii="PF Square Sans Pro" w:eastAsia="Calibri" w:hAnsi="PF Square Sans Pro" w:cs="Times New Roman"/>
              </w:rPr>
              <w:t xml:space="preserve"> </w:t>
            </w:r>
            <w:r w:rsidRPr="00855807">
              <w:rPr>
                <w:rFonts w:ascii="PF Square Sans Pro" w:eastAsia="Calibri" w:hAnsi="PF Square Sans Pro" w:cs="Times New Roman"/>
              </w:rPr>
              <w:t>Розбудова та модернізація інженерних мереж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4"/>
                <w:tab w:val="left" w:pos="453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>Покращення матеріально-технічної бази комунальних підприємств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4"/>
                <w:tab w:val="left" w:pos="453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>Розбудова та модернізація мереж водопостачання, водовідведення та каналізації в населених пунктах громади, особливо у сільській місцевості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4"/>
                <w:tab w:val="left" w:pos="453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 xml:space="preserve">Реконструкція очисних споруд 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4"/>
                <w:tab w:val="left" w:pos="453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>Реконструкція та будівництво об’єктів зовнішнього освітлення в сільських населених пунктах</w:t>
            </w:r>
          </w:p>
          <w:p w:rsidR="00C40BAC" w:rsidRPr="00845CB8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4"/>
                <w:tab w:val="left" w:pos="1036"/>
                <w:tab w:val="left" w:pos="125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SimSun" w:hAnsi="PF Square Sans Pro"/>
                <w:bCs/>
                <w:kern w:val="2"/>
                <w:lang w:eastAsia="hi-IN" w:bidi="hi-IN"/>
              </w:rPr>
              <w:t>Збільшення кількості об’єднань співвласників багатоквартирних будинків (ОСББ), створення умов щодо розвитку системи самоорганізації споживачів житлово-комунальних послуг ОСББ</w:t>
            </w:r>
          </w:p>
        </w:tc>
      </w:tr>
      <w:tr w:rsidR="00C40BAC" w:rsidRPr="00855807" w:rsidTr="008B5218">
        <w:trPr>
          <w:trHeight w:val="1662"/>
        </w:trPr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3.1.2. Покращення дорожньо-транспортної інфраструктури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79162D" w:rsidRDefault="00C40BAC" w:rsidP="00C40BAC">
            <w:pPr>
              <w:numPr>
                <w:ilvl w:val="0"/>
                <w:numId w:val="2"/>
              </w:numPr>
              <w:tabs>
                <w:tab w:val="left" w:pos="324"/>
                <w:tab w:val="left" w:pos="383"/>
                <w:tab w:val="left" w:pos="453"/>
                <w:tab w:val="left" w:pos="104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Покращення стану комунальних доріг громади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324"/>
                <w:tab w:val="left" w:pos="383"/>
                <w:tab w:val="left" w:pos="453"/>
                <w:tab w:val="left" w:pos="104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Капітальні і поточні ремонти вулиць та тротуарів населених пунктів громади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324"/>
                <w:tab w:val="left" w:pos="383"/>
                <w:tab w:val="left" w:pos="453"/>
                <w:tab w:val="left" w:pos="104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 xml:space="preserve">Розробка плану пріоритетного інвестування у сфері дорожньо-транспортної інфраструктури 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324"/>
                <w:tab w:val="left" w:pos="1036"/>
                <w:tab w:val="left" w:pos="125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Ремонт \ благоустрій зупинок автотранспорту</w:t>
            </w:r>
          </w:p>
        </w:tc>
      </w:tr>
      <w:tr w:rsidR="00C40BAC" w:rsidRPr="00855807" w:rsidTr="008B5218">
        <w:trPr>
          <w:trHeight w:val="1969"/>
        </w:trPr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3.</w:t>
            </w:r>
            <w:r>
              <w:rPr>
                <w:rFonts w:ascii="PF Square Sans Pro" w:eastAsia="Calibri" w:hAnsi="PF Square Sans Pro" w:cs="Times New Roman"/>
              </w:rPr>
              <w:t>1</w:t>
            </w:r>
            <w:r w:rsidRPr="00855807">
              <w:rPr>
                <w:rFonts w:ascii="PF Square Sans Pro" w:eastAsia="Calibri" w:hAnsi="PF Square Sans Pro" w:cs="Times New Roman"/>
              </w:rPr>
              <w:t>.</w:t>
            </w:r>
            <w:r>
              <w:rPr>
                <w:rFonts w:ascii="PF Square Sans Pro" w:eastAsia="Calibri" w:hAnsi="PF Square Sans Pro" w:cs="Times New Roman"/>
              </w:rPr>
              <w:t>3</w:t>
            </w:r>
            <w:r w:rsidRPr="00855807">
              <w:rPr>
                <w:rFonts w:ascii="PF Square Sans Pro" w:eastAsia="Calibri" w:hAnsi="PF Square Sans Pro" w:cs="Times New Roman"/>
              </w:rPr>
              <w:t>.</w:t>
            </w:r>
            <w:r w:rsidRPr="00855807">
              <w:rPr>
                <w:rFonts w:ascii="Calibri" w:eastAsia="Calibri" w:hAnsi="Calibri" w:cs="Times New Roman"/>
              </w:rPr>
              <w:t xml:space="preserve"> </w:t>
            </w:r>
            <w:r w:rsidRPr="00855807">
              <w:rPr>
                <w:rFonts w:ascii="PF Square Sans Pro" w:eastAsia="Calibri" w:hAnsi="PF Square Sans Pro" w:cs="Times New Roman"/>
              </w:rPr>
              <w:t>Розвиток системи</w:t>
            </w:r>
            <w:r>
              <w:rPr>
                <w:rFonts w:ascii="PF Square Sans Pro" w:eastAsia="Calibri" w:hAnsi="PF Square Sans Pro" w:cs="Times New Roman"/>
              </w:rPr>
              <w:t xml:space="preserve"> </w:t>
            </w:r>
            <w:r w:rsidRPr="00855807">
              <w:rPr>
                <w:rFonts w:ascii="PF Square Sans Pro" w:eastAsia="Calibri" w:hAnsi="PF Square Sans Pro" w:cs="Times New Roman"/>
              </w:rPr>
              <w:t>поводження з відходами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4"/>
                <w:tab w:val="left" w:pos="457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>Розвиток системи роздільного збору та утилізації сміття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4"/>
                <w:tab w:val="left" w:pos="457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>Ліквідація стихійних сміттєзвалищ</w:t>
            </w:r>
          </w:p>
          <w:p w:rsidR="00C40BAC" w:rsidRPr="00855807" w:rsidRDefault="00C40BAC" w:rsidP="00C40B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24"/>
                <w:tab w:val="left" w:pos="457"/>
              </w:tabs>
              <w:suppressAutoHyphens/>
              <w:spacing w:after="0" w:line="240" w:lineRule="auto"/>
              <w:ind w:left="41" w:firstLine="0"/>
              <w:rPr>
                <w:rFonts w:ascii="PF Square Sans Pro" w:eastAsia="SimSun" w:hAnsi="PF Square Sans Pro"/>
                <w:bCs/>
                <w:kern w:val="1"/>
                <w:lang w:val="uk-UA" w:eastAsia="hi-IN" w:bidi="hi-IN"/>
              </w:rPr>
            </w:pPr>
            <w:r w:rsidRPr="00855807">
              <w:rPr>
                <w:rFonts w:ascii="PF Square Sans Pro" w:eastAsia="SimSun" w:hAnsi="PF Square Sans Pro"/>
                <w:bCs/>
                <w:kern w:val="2"/>
                <w:lang w:val="uk-UA" w:eastAsia="hi-IN" w:bidi="hi-IN"/>
              </w:rPr>
              <w:t>Закупівля спецтехніки для збору і утилізації сміття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324"/>
                <w:tab w:val="left" w:pos="1036"/>
                <w:tab w:val="left" w:pos="1258"/>
              </w:tabs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/>
                <w:bCs/>
                <w:kern w:val="1"/>
                <w:lang w:eastAsia="hi-IN" w:bidi="hi-IN"/>
              </w:rPr>
              <w:t>Проведення роз’яснювальних заходів щодо роздільного збору сміття</w:t>
            </w:r>
          </w:p>
        </w:tc>
      </w:tr>
      <w:tr w:rsidR="00C40BAC" w:rsidRPr="00855807" w:rsidTr="008B5218">
        <w:trPr>
          <w:trHeight w:val="1686"/>
        </w:trPr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3.1.</w:t>
            </w:r>
            <w:r>
              <w:rPr>
                <w:rFonts w:ascii="PF Square Sans Pro" w:eastAsia="Calibri" w:hAnsi="PF Square Sans Pro" w:cs="Times New Roman"/>
              </w:rPr>
              <w:t>4</w:t>
            </w:r>
            <w:r w:rsidRPr="00855807">
              <w:rPr>
                <w:rFonts w:ascii="PF Square Sans Pro" w:eastAsia="Calibri" w:hAnsi="PF Square Sans Pro" w:cs="Times New Roman"/>
              </w:rPr>
              <w:t xml:space="preserve"> Розроблення містобудівної документації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324"/>
                <w:tab w:val="left" w:pos="383"/>
                <w:tab w:val="left" w:pos="453"/>
                <w:tab w:val="left" w:pos="104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Розробка схеми планування території громади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324"/>
                <w:tab w:val="left" w:pos="383"/>
                <w:tab w:val="left" w:pos="453"/>
                <w:tab w:val="left" w:pos="104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Розробка/оновлення генеральних планів населених пунктів громади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4"/>
                <w:tab w:val="left" w:pos="1036"/>
                <w:tab w:val="left" w:pos="125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hAnsi="PF Square Sans Pro"/>
              </w:rPr>
              <w:t xml:space="preserve">Зонування та розробка детальних планів територій населених пунктів </w:t>
            </w:r>
          </w:p>
        </w:tc>
      </w:tr>
      <w:tr w:rsidR="00C40BAC" w:rsidRPr="00855807" w:rsidTr="008B5218">
        <w:trPr>
          <w:trHeight w:val="1259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3.2. Енергоефективна громада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hAnsi="PF Square Sans Pro"/>
              </w:rPr>
              <w:t>3.2.1.Підвищення ефективності управління енергетичними ресурсами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  <w:tab w:val="left" w:pos="1036"/>
                <w:tab w:val="left" w:pos="125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Проведення </w:t>
            </w:r>
            <w:proofErr w:type="spellStart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енергоаудиту</w:t>
            </w:r>
            <w:proofErr w:type="spellEnd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 комунальних закладів громади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  <w:tab w:val="left" w:pos="1036"/>
                <w:tab w:val="left" w:pos="125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  <w:lang w:eastAsia="x-none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Впровадження та постійне вдосконалення системи енергетичного менеджменту, зокрема, відповідно до вимог міжнародних стандартів та угод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  <w:tab w:val="left" w:pos="1036"/>
                <w:tab w:val="left" w:pos="125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Забезпечення повноти та прозорості обліку всіх форм енергії та паливно-енергетичних ресурсів (</w:t>
            </w:r>
            <w:proofErr w:type="spellStart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електро</w:t>
            </w:r>
            <w:proofErr w:type="spellEnd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 xml:space="preserve">- та </w:t>
            </w:r>
            <w:proofErr w:type="spellStart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теплоенергоносії</w:t>
            </w:r>
            <w:proofErr w:type="spellEnd"/>
            <w:r w:rsidRPr="00855807">
              <w:rPr>
                <w:rFonts w:ascii="PF Square Sans Pro" w:eastAsia="Calibri" w:hAnsi="PF Square Sans Pro" w:cs="Times New Roman"/>
                <w:lang w:eastAsia="x-none"/>
              </w:rPr>
              <w:t>, природного газу тощо)</w:t>
            </w:r>
          </w:p>
        </w:tc>
      </w:tr>
      <w:tr w:rsidR="00C40BAC" w:rsidRPr="00855807" w:rsidTr="008B5218">
        <w:trPr>
          <w:trHeight w:val="2680"/>
        </w:trPr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hAnsi="PF Square Sans Pro"/>
              </w:rPr>
              <w:t>3.2.2 Впровадження енергозберігаючих технологій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327"/>
                <w:tab w:val="left" w:pos="1036"/>
                <w:tab w:val="left" w:pos="1258"/>
              </w:tabs>
              <w:spacing w:after="0"/>
              <w:ind w:left="41" w:firstLine="0"/>
              <w:rPr>
                <w:rFonts w:ascii="PF Square Sans Pro" w:hAnsi="PF Square Sans Pro"/>
                <w:bCs/>
              </w:rPr>
            </w:pPr>
            <w:r w:rsidRPr="00855807">
              <w:rPr>
                <w:rFonts w:ascii="PF Square Sans Pro" w:hAnsi="PF Square Sans Pro"/>
                <w:bCs/>
              </w:rPr>
              <w:t>Впровадження енергозберігаючих технологій на об’єктах комунальної власності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327"/>
                <w:tab w:val="left" w:pos="1036"/>
                <w:tab w:val="left" w:pos="1258"/>
              </w:tabs>
              <w:spacing w:after="0"/>
              <w:ind w:left="41" w:firstLine="0"/>
              <w:rPr>
                <w:rFonts w:ascii="PF Square Sans Pro" w:hAnsi="PF Square Sans Pro"/>
                <w:bCs/>
              </w:rPr>
            </w:pPr>
            <w:r w:rsidRPr="00855807">
              <w:rPr>
                <w:rFonts w:ascii="PF Square Sans Pro" w:hAnsi="PF Square Sans Pro"/>
                <w:bCs/>
              </w:rPr>
              <w:t>Створення інструменту стимулювання впровадження енергозберігаючих технологій в ОСББ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327"/>
                <w:tab w:val="left" w:pos="1036"/>
                <w:tab w:val="left" w:pos="1258"/>
              </w:tabs>
              <w:spacing w:after="0"/>
              <w:ind w:left="41" w:firstLine="0"/>
              <w:rPr>
                <w:rFonts w:ascii="PF Square Sans Pro" w:hAnsi="PF Square Sans Pro"/>
                <w:bCs/>
              </w:rPr>
            </w:pPr>
            <w:r w:rsidRPr="00855807">
              <w:rPr>
                <w:rFonts w:ascii="PF Square Sans Pro" w:hAnsi="PF Square Sans Pro"/>
                <w:bCs/>
              </w:rPr>
              <w:t>Реконструкція / модернізація систем опалення в об’єктах комунальної власності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  <w:tab w:val="left" w:pos="1036"/>
                <w:tab w:val="left" w:pos="125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hAnsi="PF Square Sans Pro"/>
                <w:bCs/>
              </w:rPr>
              <w:t>Впровадження ЕСКО механізму на території громади</w:t>
            </w:r>
          </w:p>
        </w:tc>
      </w:tr>
      <w:tr w:rsidR="00C40BAC" w:rsidRPr="00855807" w:rsidTr="008B5218">
        <w:trPr>
          <w:trHeight w:val="1981"/>
        </w:trPr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hAnsi="PF Square Sans Pro"/>
              </w:rPr>
              <w:t>3.2.3. Розвиток альтернативної енергетики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327"/>
                <w:tab w:val="left" w:pos="1036"/>
                <w:tab w:val="left" w:pos="1258"/>
              </w:tabs>
              <w:spacing w:after="0"/>
              <w:ind w:left="41" w:firstLine="0"/>
              <w:rPr>
                <w:rFonts w:ascii="PF Square Sans Pro" w:hAnsi="PF Square Sans Pro"/>
                <w:bCs/>
              </w:rPr>
            </w:pPr>
            <w:r w:rsidRPr="00855807">
              <w:rPr>
                <w:rFonts w:ascii="PF Square Sans Pro" w:hAnsi="PF Square Sans Pro"/>
                <w:bCs/>
              </w:rPr>
              <w:t>Розвиток відновлюваної енергетики, біоенергетики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  <w:tab w:val="left" w:pos="1036"/>
                <w:tab w:val="left" w:pos="125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hAnsi="PF Square Sans Pro"/>
                <w:bCs/>
              </w:rPr>
              <w:t>Забезпечення реалізації проектів з децентралізації енергопостачання на місцевому рівні (на основі використання відновлюваної енергетики, «розумних мереж»)</w:t>
            </w:r>
          </w:p>
        </w:tc>
      </w:tr>
      <w:tr w:rsidR="00C40BAC" w:rsidRPr="00855807" w:rsidTr="008B5218">
        <w:trPr>
          <w:trHeight w:val="2265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3.3. Комфортне і безпечне середовище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3.3.1. Підвищення рівня громадської безпеки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Залучення поліції до навчання дітей правил безпеки на дорозі та</w:t>
            </w:r>
            <w:r w:rsidRPr="00855807">
              <w:rPr>
                <w:rFonts w:ascii="PF Square Sans Pro" w:eastAsia="Calibri" w:hAnsi="PF Square Sans Pro" w:cs="PF Square Sans Pro"/>
              </w:rPr>
              <w:t xml:space="preserve"> у</w:t>
            </w:r>
            <w:r w:rsidRPr="00855807">
              <w:rPr>
                <w:rFonts w:ascii="PF Square Sans Pro" w:eastAsia="Calibri" w:hAnsi="PF Square Sans Pro" w:cs="Times New Roman"/>
              </w:rPr>
              <w:t xml:space="preserve"> </w:t>
            </w:r>
            <w:r w:rsidRPr="00855807">
              <w:rPr>
                <w:rFonts w:ascii="PF Square Sans Pro" w:eastAsia="Calibri" w:hAnsi="PF Square Sans Pro" w:cs="PF Square Sans Pro"/>
              </w:rPr>
              <w:t>цифровому</w:t>
            </w:r>
            <w:r w:rsidRPr="00855807">
              <w:rPr>
                <w:rFonts w:ascii="PF Square Sans Pro" w:eastAsia="Calibri" w:hAnsi="PF Square Sans Pro" w:cs="Times New Roman"/>
              </w:rPr>
              <w:t xml:space="preserve"> </w:t>
            </w:r>
            <w:r w:rsidRPr="00855807">
              <w:rPr>
                <w:rFonts w:ascii="PF Square Sans Pro" w:eastAsia="Calibri" w:hAnsi="PF Square Sans Pro" w:cs="PF Square Sans Pro"/>
              </w:rPr>
              <w:t>простор</w:t>
            </w:r>
            <w:r w:rsidRPr="00855807">
              <w:rPr>
                <w:rFonts w:ascii="PF Square Sans Pro" w:eastAsia="Calibri" w:hAnsi="PF Square Sans Pro" w:cs="Times New Roman"/>
              </w:rPr>
              <w:t>і</w:t>
            </w:r>
          </w:p>
          <w:p w:rsidR="00C40BAC" w:rsidRPr="00855807" w:rsidRDefault="00C40BAC" w:rsidP="00C40B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27"/>
              </w:tabs>
              <w:suppressAutoHyphens/>
              <w:spacing w:after="0" w:line="240" w:lineRule="auto"/>
              <w:ind w:left="41" w:firstLine="0"/>
              <w:rPr>
                <w:rFonts w:ascii="PF Square Sans Pro" w:eastAsia="SimSun" w:hAnsi="PF Square Sans Pro"/>
                <w:bCs/>
                <w:kern w:val="1"/>
                <w:lang w:val="uk-UA" w:eastAsia="hi-IN" w:bidi="hi-IN"/>
              </w:rPr>
            </w:pPr>
            <w:r w:rsidRPr="00855807">
              <w:rPr>
                <w:rFonts w:ascii="PF Square Sans Pro" w:hAnsi="PF Square Sans Pro"/>
                <w:lang w:val="uk-UA"/>
              </w:rPr>
              <w:t xml:space="preserve">Реалізація національного </w:t>
            </w:r>
            <w:proofErr w:type="spellStart"/>
            <w:r w:rsidRPr="00855807">
              <w:rPr>
                <w:rFonts w:ascii="PF Square Sans Pro" w:hAnsi="PF Square Sans Pro"/>
                <w:lang w:val="uk-UA"/>
              </w:rPr>
              <w:t>проєкту</w:t>
            </w:r>
            <w:proofErr w:type="spellEnd"/>
            <w:r w:rsidRPr="00855807">
              <w:rPr>
                <w:rFonts w:ascii="PF Square Sans Pro" w:hAnsi="PF Square Sans Pro"/>
                <w:lang w:val="uk-UA"/>
              </w:rPr>
              <w:t xml:space="preserve"> «Поліцейський офіцер громади» (облаштування станції для роботи дільничного офіцера)</w:t>
            </w:r>
          </w:p>
          <w:p w:rsidR="00C40BAC" w:rsidRPr="00855807" w:rsidRDefault="00C40BAC" w:rsidP="00C40B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27"/>
              </w:tabs>
              <w:suppressAutoHyphens/>
              <w:spacing w:after="0" w:line="240" w:lineRule="auto"/>
              <w:ind w:left="41" w:firstLine="0"/>
              <w:rPr>
                <w:rFonts w:ascii="PF Square Sans Pro" w:eastAsia="SimSun" w:hAnsi="PF Square Sans Pro"/>
                <w:bCs/>
                <w:kern w:val="1"/>
                <w:lang w:val="uk-UA" w:eastAsia="hi-IN" w:bidi="hi-IN"/>
              </w:rPr>
            </w:pPr>
            <w:r w:rsidRPr="00855807">
              <w:rPr>
                <w:rFonts w:ascii="PF Square Sans Pro" w:eastAsia="SimSun" w:hAnsi="PF Square Sans Pro"/>
                <w:bCs/>
                <w:kern w:val="1"/>
                <w:lang w:val="uk-UA" w:eastAsia="hi-IN" w:bidi="hi-IN"/>
              </w:rPr>
              <w:t>Приведення комунальних приміщень у відповідність до сучасних протипожежних вимог</w:t>
            </w:r>
          </w:p>
          <w:p w:rsidR="00C40BAC" w:rsidRPr="00855807" w:rsidRDefault="00C40BAC" w:rsidP="00C40BAC">
            <w:pPr>
              <w:numPr>
                <w:ilvl w:val="0"/>
                <w:numId w:val="2"/>
              </w:numPr>
              <w:tabs>
                <w:tab w:val="left" w:pos="327"/>
                <w:tab w:val="left" w:pos="1036"/>
                <w:tab w:val="left" w:pos="1258"/>
              </w:tabs>
              <w:spacing w:after="0" w:line="240" w:lineRule="auto"/>
              <w:ind w:left="41" w:firstLine="0"/>
              <w:contextualSpacing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SimSun" w:hAnsi="PF Square Sans Pro"/>
                <w:bCs/>
                <w:kern w:val="1"/>
                <w:lang w:eastAsia="hi-IN" w:bidi="hi-IN"/>
              </w:rPr>
              <w:t>Організація притулку для бездомних тварин</w:t>
            </w:r>
          </w:p>
        </w:tc>
      </w:tr>
      <w:tr w:rsidR="00C40BAC" w:rsidRPr="00855807" w:rsidTr="008B5218">
        <w:trPr>
          <w:trHeight w:val="1830"/>
        </w:trPr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3.</w:t>
            </w:r>
            <w:r w:rsidRPr="005960CF">
              <w:rPr>
                <w:rFonts w:ascii="PF Square Sans Pro" w:eastAsia="Calibri" w:hAnsi="PF Square Sans Pro" w:cs="Times New Roman"/>
              </w:rPr>
              <w:t xml:space="preserve">3.2. </w:t>
            </w:r>
            <w:r w:rsidRPr="00855807">
              <w:rPr>
                <w:rFonts w:ascii="PF Square Sans Pro" w:eastAsia="Calibri" w:hAnsi="PF Square Sans Pro" w:cs="Times New Roman"/>
                <w:bCs/>
              </w:rPr>
              <w:t xml:space="preserve">Благоустрій </w:t>
            </w:r>
            <w:r w:rsidRPr="00855807">
              <w:rPr>
                <w:rFonts w:ascii="PF Square Sans Pro" w:eastAsia="Calibri" w:hAnsi="PF Square Sans Pro" w:cs="Times New Roman"/>
              </w:rPr>
              <w:t>громадського простору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>Створення сучасних публічних просторів - дитячих зон, місць відпочинку громадян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 xml:space="preserve">Благоустрій населених пунктів 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  <w:tab w:val="left" w:pos="383"/>
                <w:tab w:val="left" w:pos="1036"/>
                <w:tab w:val="left" w:pos="125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/>
                <w:bCs/>
                <w:kern w:val="2"/>
                <w:lang w:eastAsia="hi-IN" w:bidi="hi-IN"/>
              </w:rPr>
              <w:t xml:space="preserve">Облаштування оздоровчих, паркових зон та об`єктів природного середовища, зокрема міського парку та басейну у м. </w:t>
            </w:r>
            <w:proofErr w:type="spellStart"/>
            <w:r w:rsidRPr="00855807">
              <w:rPr>
                <w:rFonts w:ascii="PF Square Sans Pro" w:eastAsia="SimSun" w:hAnsi="PF Square Sans Pro"/>
                <w:bCs/>
                <w:kern w:val="2"/>
                <w:lang w:eastAsia="hi-IN" w:bidi="hi-IN"/>
              </w:rPr>
              <w:t>Радехів</w:t>
            </w:r>
            <w:proofErr w:type="spellEnd"/>
          </w:p>
        </w:tc>
      </w:tr>
      <w:tr w:rsidR="00C40BAC" w:rsidRPr="00855807" w:rsidTr="008B5218">
        <w:trPr>
          <w:trHeight w:val="2093"/>
        </w:trPr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3.</w:t>
            </w:r>
            <w:r>
              <w:rPr>
                <w:rFonts w:ascii="PF Square Sans Pro" w:eastAsia="Calibri" w:hAnsi="PF Square Sans Pro" w:cs="Times New Roman"/>
              </w:rPr>
              <w:t>3</w:t>
            </w:r>
            <w:r w:rsidRPr="00855807">
              <w:rPr>
                <w:rFonts w:ascii="PF Square Sans Pro" w:eastAsia="Calibri" w:hAnsi="PF Square Sans Pro" w:cs="Times New Roman"/>
              </w:rPr>
              <w:t>.</w:t>
            </w:r>
            <w:r>
              <w:rPr>
                <w:rFonts w:ascii="PF Square Sans Pro" w:eastAsia="Calibri" w:hAnsi="PF Square Sans Pro" w:cs="Times New Roman"/>
              </w:rPr>
              <w:t>3</w:t>
            </w:r>
            <w:r w:rsidRPr="00855807">
              <w:rPr>
                <w:rFonts w:ascii="PF Square Sans Pro" w:eastAsia="Calibri" w:hAnsi="PF Square Sans Pro" w:cs="Times New Roman"/>
              </w:rPr>
              <w:t xml:space="preserve">. Розвиток </w:t>
            </w:r>
            <w:proofErr w:type="spellStart"/>
            <w:r w:rsidRPr="00855807">
              <w:rPr>
                <w:rFonts w:ascii="PF Square Sans Pro" w:eastAsia="Calibri" w:hAnsi="PF Square Sans Pro" w:cs="Times New Roman"/>
              </w:rPr>
              <w:t>безбар'єрного</w:t>
            </w:r>
            <w:proofErr w:type="spellEnd"/>
            <w:r w:rsidRPr="00855807">
              <w:rPr>
                <w:rFonts w:ascii="PF Square Sans Pro" w:eastAsia="Calibri" w:hAnsi="PF Square Sans Pro" w:cs="Times New Roman"/>
              </w:rPr>
              <w:t xml:space="preserve"> середовища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  <w:tab w:val="left" w:pos="383"/>
                <w:tab w:val="left" w:pos="104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 xml:space="preserve">Забезпечення потреб осіб з інвалідністю та інших </w:t>
            </w:r>
            <w:proofErr w:type="spellStart"/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>маломобільних</w:t>
            </w:r>
            <w:proofErr w:type="spellEnd"/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 xml:space="preserve"> груп населення під час створення нових приміщень, товарів, робіт і послуг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  <w:tab w:val="left" w:pos="383"/>
                <w:tab w:val="left" w:pos="1036"/>
                <w:tab w:val="left" w:pos="125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/>
                <w:bCs/>
                <w:kern w:val="2"/>
                <w:lang w:eastAsia="hi-IN" w:bidi="hi-IN"/>
              </w:rPr>
              <w:t xml:space="preserve">Забезпечення здійснення заходів щодо пристосування існуючих приміщень, товарів, робіт і послуг до потреб осіб з інвалідністю та інших </w:t>
            </w:r>
            <w:proofErr w:type="spellStart"/>
            <w:r w:rsidRPr="00855807">
              <w:rPr>
                <w:rFonts w:ascii="PF Square Sans Pro" w:eastAsia="SimSun" w:hAnsi="PF Square Sans Pro"/>
                <w:bCs/>
                <w:kern w:val="2"/>
                <w:lang w:eastAsia="hi-IN" w:bidi="hi-IN"/>
              </w:rPr>
              <w:t>маломобільних</w:t>
            </w:r>
            <w:proofErr w:type="spellEnd"/>
            <w:r w:rsidRPr="00855807">
              <w:rPr>
                <w:rFonts w:ascii="PF Square Sans Pro" w:eastAsia="SimSun" w:hAnsi="PF Square Sans Pro"/>
                <w:bCs/>
                <w:kern w:val="2"/>
                <w:lang w:eastAsia="hi-IN" w:bidi="hi-IN"/>
              </w:rPr>
              <w:t xml:space="preserve"> груп населення</w:t>
            </w:r>
          </w:p>
        </w:tc>
      </w:tr>
      <w:tr w:rsidR="00C40BAC" w:rsidRPr="00855807" w:rsidTr="008B5218">
        <w:trPr>
          <w:trHeight w:val="3530"/>
        </w:trPr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56" w:lineRule="auto"/>
              <w:rPr>
                <w:rFonts w:ascii="PF Square Sans Pro" w:eastAsia="Calibri" w:hAnsi="PF Square Sans Pro" w:cs="Times New Roma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AC" w:rsidRPr="00855807" w:rsidRDefault="00C40BAC" w:rsidP="008B5218">
            <w:pPr>
              <w:tabs>
                <w:tab w:val="left" w:pos="284"/>
              </w:tabs>
              <w:spacing w:after="0" w:line="240" w:lineRule="auto"/>
              <w:rPr>
                <w:rFonts w:ascii="PF Square Sans Pro" w:eastAsia="Calibri" w:hAnsi="PF Square Sans Pro" w:cs="Times New Roman"/>
              </w:rPr>
            </w:pPr>
            <w:r w:rsidRPr="00855807">
              <w:rPr>
                <w:rFonts w:ascii="PF Square Sans Pro" w:eastAsia="Calibri" w:hAnsi="PF Square Sans Pro" w:cs="Times New Roman"/>
              </w:rPr>
              <w:t>3.3.</w:t>
            </w:r>
            <w:r>
              <w:rPr>
                <w:rFonts w:ascii="PF Square Sans Pro" w:eastAsia="Calibri" w:hAnsi="PF Square Sans Pro" w:cs="Times New Roman"/>
              </w:rPr>
              <w:t>4</w:t>
            </w:r>
            <w:r w:rsidRPr="00855807">
              <w:rPr>
                <w:rFonts w:ascii="PF Square Sans Pro" w:eastAsia="Calibri" w:hAnsi="PF Square Sans Pro" w:cs="Times New Roman"/>
              </w:rPr>
              <w:t>. Забезпечення екологічної безпеки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>Збереження цінних природних територій та об’єктів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 xml:space="preserve">Впровадження заходів щодо поліпшення екологічного стану земель, водойм та лісів 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>Запровадження системи екологічного моніторингу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  <w:t>Заходи з підтримання екологічної безпеки території (підтримання сприятливого гідрологічного режиму рік, очищення території від борщівника Сосновського, усунення стихійних сміттєзвалищ тощо)</w:t>
            </w:r>
          </w:p>
          <w:p w:rsidR="00C40BAC" w:rsidRPr="00855807" w:rsidRDefault="00C40BAC" w:rsidP="00C40BAC">
            <w:pPr>
              <w:widowControl w:val="0"/>
              <w:numPr>
                <w:ilvl w:val="0"/>
                <w:numId w:val="2"/>
              </w:numPr>
              <w:tabs>
                <w:tab w:val="left" w:pos="327"/>
                <w:tab w:val="left" w:pos="1036"/>
                <w:tab w:val="left" w:pos="1258"/>
              </w:tabs>
              <w:suppressAutoHyphens/>
              <w:spacing w:after="0" w:line="240" w:lineRule="auto"/>
              <w:ind w:left="41" w:firstLine="0"/>
              <w:contextualSpacing/>
              <w:rPr>
                <w:rFonts w:ascii="PF Square Sans Pro" w:eastAsia="SimSun" w:hAnsi="PF Square Sans Pro" w:cs="Times New Roman"/>
                <w:bCs/>
                <w:kern w:val="2"/>
                <w:lang w:eastAsia="hi-IN" w:bidi="hi-IN"/>
              </w:rPr>
            </w:pPr>
            <w:r w:rsidRPr="00855807">
              <w:rPr>
                <w:rFonts w:ascii="PF Square Sans Pro" w:eastAsia="SimSun" w:hAnsi="PF Square Sans Pro"/>
                <w:bCs/>
                <w:kern w:val="2"/>
                <w:lang w:eastAsia="hi-IN" w:bidi="hi-IN"/>
              </w:rPr>
              <w:t>Проведення заходів з підвищення екологічної свідомості населення</w:t>
            </w:r>
          </w:p>
        </w:tc>
      </w:tr>
      <w:bookmarkEnd w:id="0"/>
    </w:tbl>
    <w:p w:rsidR="008562FF" w:rsidRDefault="008562FF"/>
    <w:sectPr w:rsidR="008562FF" w:rsidSect="00237A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078EE"/>
    <w:multiLevelType w:val="hybridMultilevel"/>
    <w:tmpl w:val="2B06D10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661D0"/>
    <w:multiLevelType w:val="hybridMultilevel"/>
    <w:tmpl w:val="7FEABF5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AC"/>
    <w:rsid w:val="00237AFE"/>
    <w:rsid w:val="008562FF"/>
    <w:rsid w:val="00C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D8C5-9F7D-44D4-9846-69D08DE9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Square Sans Pro" w:eastAsiaTheme="minorHAnsi" w:hAnsi="PF Square Sans Pro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AC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BAC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6961</Words>
  <Characters>3969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</dc:creator>
  <cp:keywords/>
  <dc:description/>
  <cp:lastModifiedBy>Sofiy</cp:lastModifiedBy>
  <cp:revision>1</cp:revision>
  <dcterms:created xsi:type="dcterms:W3CDTF">2021-09-07T14:23:00Z</dcterms:created>
  <dcterms:modified xsi:type="dcterms:W3CDTF">2021-09-07T14:24:00Z</dcterms:modified>
</cp:coreProperties>
</file>