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9AE" w:rsidRDefault="00BC29AE" w:rsidP="00BC29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СХВАЛЕНО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ЗАТВЕРДЖЕНО</w:t>
      </w:r>
    </w:p>
    <w:p w:rsidR="00BC29AE" w:rsidRDefault="00847961" w:rsidP="00BC29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 w:rsidR="00BC29AE">
        <w:rPr>
          <w:rFonts w:ascii="Times New Roman" w:hAnsi="Times New Roman" w:cs="Times New Roman"/>
          <w:spacing w:val="1"/>
          <w:sz w:val="28"/>
          <w:szCs w:val="28"/>
        </w:rPr>
        <w:t>ішення виконавчого комітету</w:t>
      </w:r>
      <w:r w:rsidR="00BC29AE">
        <w:rPr>
          <w:rFonts w:ascii="Times New Roman" w:hAnsi="Times New Roman" w:cs="Times New Roman"/>
          <w:spacing w:val="1"/>
          <w:sz w:val="28"/>
          <w:szCs w:val="28"/>
        </w:rPr>
        <w:tab/>
      </w:r>
      <w:r w:rsidR="00BC29AE">
        <w:rPr>
          <w:rFonts w:ascii="Times New Roman" w:hAnsi="Times New Roman" w:cs="Times New Roman"/>
          <w:spacing w:val="1"/>
          <w:sz w:val="28"/>
          <w:szCs w:val="28"/>
        </w:rPr>
        <w:tab/>
      </w:r>
      <w:r w:rsidR="00BC29AE">
        <w:rPr>
          <w:rFonts w:ascii="Times New Roman" w:hAnsi="Times New Roman" w:cs="Times New Roman"/>
          <w:spacing w:val="1"/>
          <w:sz w:val="28"/>
          <w:szCs w:val="28"/>
        </w:rPr>
        <w:tab/>
      </w:r>
      <w:r w:rsidR="00BC29AE">
        <w:rPr>
          <w:rFonts w:ascii="Times New Roman" w:hAnsi="Times New Roman" w:cs="Times New Roman"/>
          <w:spacing w:val="1"/>
          <w:sz w:val="28"/>
          <w:szCs w:val="28"/>
        </w:rPr>
        <w:tab/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 w:rsidR="00BC29AE">
        <w:rPr>
          <w:rFonts w:ascii="Times New Roman" w:hAnsi="Times New Roman" w:cs="Times New Roman"/>
          <w:spacing w:val="1"/>
          <w:sz w:val="28"/>
          <w:szCs w:val="28"/>
        </w:rPr>
        <w:t xml:space="preserve">ішення </w:t>
      </w:r>
      <w:r w:rsidR="007C1BF6">
        <w:rPr>
          <w:rFonts w:ascii="Times New Roman" w:hAnsi="Times New Roman" w:cs="Times New Roman"/>
          <w:spacing w:val="1"/>
          <w:sz w:val="28"/>
          <w:szCs w:val="28"/>
        </w:rPr>
        <w:t>селищної</w:t>
      </w:r>
      <w:r w:rsidR="00BC29AE">
        <w:rPr>
          <w:rFonts w:ascii="Times New Roman" w:hAnsi="Times New Roman" w:cs="Times New Roman"/>
          <w:spacing w:val="1"/>
          <w:sz w:val="28"/>
          <w:szCs w:val="28"/>
        </w:rPr>
        <w:t xml:space="preserve"> ради </w:t>
      </w:r>
      <w:r w:rsidR="00BC29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9AE" w:rsidRDefault="001605CD" w:rsidP="001605CD">
      <w:pPr>
        <w:pStyle w:val="a3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BC29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BC29AE">
        <w:rPr>
          <w:rFonts w:ascii="Times New Roman" w:hAnsi="Times New Roman" w:cs="Times New Roman"/>
          <w:sz w:val="28"/>
          <w:szCs w:val="28"/>
        </w:rPr>
        <w:t>.202</w:t>
      </w:r>
      <w:r w:rsidR="007C1BF6">
        <w:rPr>
          <w:rFonts w:ascii="Times New Roman" w:hAnsi="Times New Roman" w:cs="Times New Roman"/>
          <w:sz w:val="28"/>
          <w:szCs w:val="28"/>
        </w:rPr>
        <w:t>5</w:t>
      </w:r>
      <w:r w:rsidR="00BC29AE">
        <w:rPr>
          <w:rFonts w:ascii="Times New Roman" w:hAnsi="Times New Roman" w:cs="Times New Roman"/>
          <w:sz w:val="28"/>
          <w:szCs w:val="28"/>
        </w:rPr>
        <w:t xml:space="preserve"> року № 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BC29AE">
        <w:rPr>
          <w:rFonts w:ascii="Times New Roman" w:hAnsi="Times New Roman" w:cs="Times New Roman"/>
          <w:sz w:val="28"/>
          <w:szCs w:val="28"/>
        </w:rPr>
        <w:tab/>
      </w:r>
      <w:r w:rsidR="00BC29AE">
        <w:rPr>
          <w:rFonts w:ascii="Times New Roman" w:hAnsi="Times New Roman" w:cs="Times New Roman"/>
          <w:sz w:val="28"/>
          <w:szCs w:val="28"/>
        </w:rPr>
        <w:tab/>
      </w:r>
      <w:r w:rsidR="00BC29AE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__</w:t>
      </w:r>
      <w:r w:rsidR="00BC29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</w:t>
      </w:r>
      <w:r w:rsidR="00BC29AE">
        <w:rPr>
          <w:rFonts w:ascii="Times New Roman" w:hAnsi="Times New Roman" w:cs="Times New Roman"/>
          <w:sz w:val="28"/>
          <w:szCs w:val="28"/>
        </w:rPr>
        <w:t>.202</w:t>
      </w:r>
      <w:r w:rsidR="007C1BF6">
        <w:rPr>
          <w:rFonts w:ascii="Times New Roman" w:hAnsi="Times New Roman" w:cs="Times New Roman"/>
          <w:sz w:val="28"/>
          <w:szCs w:val="28"/>
        </w:rPr>
        <w:t>5</w:t>
      </w:r>
      <w:r w:rsidR="00BC29AE">
        <w:rPr>
          <w:rFonts w:ascii="Times New Roman" w:hAnsi="Times New Roman" w:cs="Times New Roman"/>
          <w:sz w:val="28"/>
          <w:szCs w:val="28"/>
        </w:rPr>
        <w:t xml:space="preserve"> року</w:t>
      </w:r>
      <w:r w:rsidR="000B1030">
        <w:rPr>
          <w:rFonts w:ascii="Times New Roman" w:hAnsi="Times New Roman" w:cs="Times New Roman"/>
          <w:sz w:val="28"/>
          <w:szCs w:val="28"/>
        </w:rPr>
        <w:t xml:space="preserve"> </w:t>
      </w:r>
      <w:r w:rsidR="00BC29AE">
        <w:rPr>
          <w:rFonts w:ascii="Times New Roman" w:hAnsi="Times New Roman" w:cs="Times New Roman"/>
          <w:sz w:val="28"/>
          <w:szCs w:val="28"/>
        </w:rPr>
        <w:t>№</w:t>
      </w:r>
      <w:r w:rsidR="000B1030">
        <w:rPr>
          <w:rFonts w:ascii="Times New Roman" w:hAnsi="Times New Roman" w:cs="Times New Roman"/>
          <w:sz w:val="28"/>
          <w:szCs w:val="28"/>
        </w:rPr>
        <w:t>__</w:t>
      </w:r>
      <w:r w:rsidR="00BC29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D56" w:rsidRDefault="007D0D56" w:rsidP="007D0D56">
      <w:pPr>
        <w:ind w:right="-1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177B66" w:rsidRDefault="00177B66" w:rsidP="00177B66">
      <w:pPr>
        <w:ind w:right="-1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Програма</w:t>
      </w:r>
    </w:p>
    <w:p w:rsidR="00177B66" w:rsidRDefault="00177B66" w:rsidP="00177B66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забезпечення виконання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</w:t>
      </w:r>
      <w:r w:rsidRPr="005A63F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судових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рішень </w:t>
      </w:r>
      <w:r>
        <w:rPr>
          <w:rFonts w:ascii="Times New Roman" w:hAnsi="Times New Roman" w:cs="Times New Roman"/>
          <w:b/>
          <w:sz w:val="28"/>
          <w:szCs w:val="28"/>
        </w:rPr>
        <w:t xml:space="preserve">та виконавчих документів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 2025-2027 роки</w:t>
      </w:r>
    </w:p>
    <w:p w:rsidR="00177B66" w:rsidRDefault="00177B66" w:rsidP="00177B66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 Передумови</w:t>
      </w:r>
    </w:p>
    <w:p w:rsidR="00177B66" w:rsidRDefault="00177B66" w:rsidP="00177B66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Стаття 129-1 Конституції України встановлює, що судові рішення ухвалюються іменем України та є обов'язковими до виконання. </w:t>
      </w:r>
    </w:p>
    <w:p w:rsidR="00177B66" w:rsidRDefault="00177B66" w:rsidP="00177B66">
      <w:pPr>
        <w:ind w:right="-144" w:firstLine="59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Програма  забезпечення виконання судових рішень </w:t>
      </w:r>
      <w:r>
        <w:rPr>
          <w:rFonts w:ascii="Times New Roman" w:hAnsi="Times New Roman" w:cs="Times New Roman"/>
          <w:sz w:val="28"/>
          <w:szCs w:val="28"/>
        </w:rPr>
        <w:t xml:space="preserve">та виконавчих документів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 2025-2027 роки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(далі - Програма) розроблена з метою забезпечення належного виконання грошових зобов’язань, які виникли на підставі рішень про стягнення коштів бюджету </w:t>
      </w:r>
      <w:proofErr w:type="spellStart"/>
      <w:r w:rsidR="007C1BF6">
        <w:rPr>
          <w:rFonts w:ascii="Times New Roman" w:hAnsi="Times New Roman" w:cs="Times New Roman"/>
          <w:sz w:val="28"/>
          <w:szCs w:val="28"/>
        </w:rPr>
        <w:t>Дубівської</w:t>
      </w:r>
      <w:proofErr w:type="spellEnd"/>
      <w:r w:rsidR="007C1BF6">
        <w:rPr>
          <w:rFonts w:ascii="Times New Roman" w:hAnsi="Times New Roman" w:cs="Times New Roman"/>
          <w:sz w:val="28"/>
          <w:szCs w:val="28"/>
        </w:rPr>
        <w:t xml:space="preserve"> селищної</w:t>
      </w:r>
      <w:r>
        <w:rPr>
          <w:rFonts w:ascii="Times New Roman" w:hAnsi="Times New Roman" w:cs="Times New Roman"/>
          <w:sz w:val="28"/>
          <w:szCs w:val="28"/>
        </w:rPr>
        <w:t xml:space="preserve"> територіальної громади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боржниками по яких є </w:t>
      </w:r>
      <w:proofErr w:type="spellStart"/>
      <w:r w:rsidR="007C1BF6">
        <w:rPr>
          <w:rFonts w:ascii="Times New Roman" w:eastAsia="Times New Roman" w:hAnsi="Times New Roman" w:cs="Times New Roman"/>
          <w:sz w:val="28"/>
          <w:szCs w:val="28"/>
          <w:lang w:eastAsia="uk-UA"/>
        </w:rPr>
        <w:t>Дубівська</w:t>
      </w:r>
      <w:proofErr w:type="spellEnd"/>
      <w:r w:rsidR="007C1B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селищна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рада та її виконавчі органи.</w:t>
      </w:r>
    </w:p>
    <w:p w:rsidR="00177B66" w:rsidRDefault="00177B66" w:rsidP="00177B66">
      <w:pPr>
        <w:pStyle w:val="326"/>
        <w:numPr>
          <w:ilvl w:val="1"/>
          <w:numId w:val="3"/>
        </w:numPr>
        <w:ind w:left="59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ПАСПОРТ Програми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3781"/>
        <w:gridCol w:w="5527"/>
      </w:tblGrid>
      <w:tr w:rsidR="00177B66" w:rsidTr="00177B66">
        <w:trPr>
          <w:trHeight w:val="48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66" w:rsidRDefault="00177B66" w:rsidP="00177B66">
            <w:pPr>
              <w:numPr>
                <w:ilvl w:val="0"/>
                <w:numId w:val="4"/>
              </w:numPr>
              <w:tabs>
                <w:tab w:val="left" w:pos="42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66" w:rsidRDefault="0017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66" w:rsidRDefault="007C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селищна рада</w:t>
            </w:r>
            <w:r w:rsidR="005A63F7">
              <w:rPr>
                <w:rFonts w:ascii="Times New Roman" w:hAnsi="Times New Roman" w:cs="Times New Roman"/>
                <w:sz w:val="28"/>
                <w:szCs w:val="28"/>
              </w:rPr>
              <w:t xml:space="preserve"> Тячівського району Закарпатської області</w:t>
            </w:r>
          </w:p>
        </w:tc>
      </w:tr>
      <w:tr w:rsidR="00177B66" w:rsidTr="00177B66">
        <w:trPr>
          <w:trHeight w:val="104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66" w:rsidRDefault="00177B66" w:rsidP="00177B66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66" w:rsidRDefault="0017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Дата, номер і назва розпорядчого документа, яким затверджено Програму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66" w:rsidRDefault="00177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B66" w:rsidTr="00177B66">
        <w:trPr>
          <w:trHeight w:val="52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66" w:rsidRDefault="00177B66" w:rsidP="00177B66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66" w:rsidRDefault="0017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66" w:rsidRDefault="005A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селищна рада Тячівського району Закарпатської області</w:t>
            </w:r>
          </w:p>
        </w:tc>
      </w:tr>
      <w:tr w:rsidR="00177B66" w:rsidTr="00177B66">
        <w:trPr>
          <w:trHeight w:val="55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66" w:rsidRDefault="00177B66" w:rsidP="00177B66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66" w:rsidRDefault="0017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Співрозробники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Програми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66" w:rsidRDefault="00177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B66" w:rsidTr="00177B66">
        <w:trPr>
          <w:trHeight w:val="734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66" w:rsidRDefault="00177B66" w:rsidP="00177B66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66" w:rsidRDefault="0017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Відповідальні виконавці Програми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66" w:rsidRDefault="005A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селищна рада Тячівського району Закарпатської області</w:t>
            </w:r>
          </w:p>
        </w:tc>
      </w:tr>
      <w:tr w:rsidR="00177B66" w:rsidTr="00177B66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66" w:rsidRDefault="00177B66" w:rsidP="00177B66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66" w:rsidRDefault="0017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розпорядник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66" w:rsidRDefault="005A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селищна рада Тячівського району Закарпатської області</w:t>
            </w:r>
          </w:p>
        </w:tc>
      </w:tr>
      <w:tr w:rsidR="00177B66" w:rsidTr="00177B66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66" w:rsidRDefault="00177B66" w:rsidP="00177B66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66" w:rsidRDefault="0017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66" w:rsidRDefault="0017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</w:t>
            </w:r>
          </w:p>
        </w:tc>
      </w:tr>
      <w:tr w:rsidR="00177B66" w:rsidTr="00177B66">
        <w:trPr>
          <w:trHeight w:val="58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66" w:rsidRDefault="00177B66" w:rsidP="00177B66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66" w:rsidRDefault="0017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66" w:rsidRDefault="0017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2025-2027 роки</w:t>
            </w:r>
          </w:p>
        </w:tc>
      </w:tr>
      <w:tr w:rsidR="00177B66" w:rsidTr="00177B66">
        <w:trPr>
          <w:trHeight w:val="1354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66" w:rsidRDefault="00177B66" w:rsidP="00177B66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66" w:rsidRDefault="0017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Етапи виконання Програми:</w:t>
            </w:r>
          </w:p>
          <w:p w:rsidR="00177B66" w:rsidRDefault="00177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B66" w:rsidRDefault="00177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B66" w:rsidRDefault="00177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66" w:rsidRDefault="0017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І етап - 2025 рік</w:t>
            </w:r>
            <w:bookmarkStart w:id="0" w:name="_GoBack"/>
            <w:bookmarkEnd w:id="0"/>
          </w:p>
          <w:p w:rsidR="00177B66" w:rsidRDefault="0017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ІІ етап - 2026 рік</w:t>
            </w:r>
          </w:p>
          <w:p w:rsidR="00177B66" w:rsidRPr="005A63F7" w:rsidRDefault="0017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5A6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ІІІ етап - 2027 рік</w:t>
            </w:r>
          </w:p>
          <w:p w:rsidR="00177B66" w:rsidRDefault="00177B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B66" w:rsidRDefault="00177B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B66" w:rsidRDefault="00177B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B66" w:rsidTr="00177B66">
        <w:trPr>
          <w:trHeight w:val="79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66" w:rsidRDefault="00177B66" w:rsidP="00177B66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66" w:rsidRDefault="0017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66" w:rsidRDefault="00177B66" w:rsidP="00276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proofErr w:type="spellStart"/>
            <w:r w:rsidR="00276433">
              <w:rPr>
                <w:rFonts w:ascii="Times New Roman" w:hAnsi="Times New Roman" w:cs="Times New Roman"/>
                <w:sz w:val="28"/>
                <w:szCs w:val="28"/>
              </w:rPr>
              <w:t>Дубівської</w:t>
            </w:r>
            <w:proofErr w:type="spellEnd"/>
            <w:r w:rsidR="00276433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територіальної громади</w:t>
            </w:r>
          </w:p>
        </w:tc>
      </w:tr>
      <w:tr w:rsidR="00177B66" w:rsidTr="00177B66">
        <w:trPr>
          <w:trHeight w:val="414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66" w:rsidRDefault="00177B66" w:rsidP="00177B66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66" w:rsidRDefault="0017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Загальний обсяг фінансових ресурсів, необхідних для реалізації Програми, усього, у тому числі: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66" w:rsidRDefault="005A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рік  -  1 9</w:t>
            </w:r>
            <w:r w:rsidR="00177B66">
              <w:rPr>
                <w:rFonts w:ascii="Times New Roman" w:hAnsi="Times New Roman" w:cs="Times New Roman"/>
                <w:sz w:val="28"/>
                <w:szCs w:val="28"/>
              </w:rPr>
              <w:t xml:space="preserve">50,0 тис.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  <w:r w:rsidR="00177B6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77B66" w:rsidRDefault="005A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рік  - 1 4</w:t>
            </w:r>
            <w:r w:rsidR="00177B66">
              <w:rPr>
                <w:rFonts w:ascii="Times New Roman" w:hAnsi="Times New Roman" w:cs="Times New Roman"/>
                <w:sz w:val="28"/>
                <w:szCs w:val="28"/>
              </w:rPr>
              <w:t>50,0 тис.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грн.</w:t>
            </w:r>
            <w:r w:rsidR="00177B66">
              <w:rPr>
                <w:rFonts w:ascii="Times New Roman" w:hAnsi="Times New Roman" w:cs="Times New Roman"/>
                <w:sz w:val="28"/>
                <w:szCs w:val="28"/>
              </w:rPr>
              <w:t xml:space="preserve">;    </w:t>
            </w:r>
          </w:p>
          <w:p w:rsidR="00177B66" w:rsidRDefault="005A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рік  -  1 4</w:t>
            </w:r>
            <w:r w:rsidR="00177B66">
              <w:rPr>
                <w:rFonts w:ascii="Times New Roman" w:hAnsi="Times New Roman" w:cs="Times New Roman"/>
                <w:sz w:val="28"/>
                <w:szCs w:val="28"/>
              </w:rPr>
              <w:t>50,0 тис.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7B66">
              <w:rPr>
                <w:rFonts w:ascii="Times New Roman" w:hAnsi="Times New Roman" w:cs="Times New Roman"/>
                <w:sz w:val="28"/>
                <w:szCs w:val="28"/>
              </w:rPr>
              <w:t xml:space="preserve">грн.           </w:t>
            </w:r>
          </w:p>
        </w:tc>
      </w:tr>
      <w:tr w:rsidR="00177B66" w:rsidTr="00177B66">
        <w:trPr>
          <w:trHeight w:val="414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66" w:rsidRDefault="00177B66" w:rsidP="00177B66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B66" w:rsidRDefault="0017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Коштів місцевого бюджету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B66" w:rsidRDefault="00177B66" w:rsidP="005A6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5A63F7">
              <w:rPr>
                <w:rFonts w:ascii="Times New Roman" w:hAnsi="Times New Roman" w:cs="Times New Roman"/>
                <w:sz w:val="28"/>
                <w:szCs w:val="28"/>
              </w:rPr>
              <w:t>4 8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50,0 тис. </w:t>
            </w:r>
            <w:r w:rsidR="005A63F7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77B66" w:rsidTr="00177B66">
        <w:trPr>
          <w:trHeight w:val="414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66" w:rsidRDefault="00177B66" w:rsidP="00177B66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B66" w:rsidRDefault="0017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Коштів інших джерел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B66" w:rsidRDefault="00177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-</w:t>
            </w:r>
          </w:p>
        </w:tc>
      </w:tr>
    </w:tbl>
    <w:p w:rsidR="00177B66" w:rsidRDefault="00177B66" w:rsidP="00177B66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 Дослідження та аналіз</w:t>
      </w:r>
    </w:p>
    <w:p w:rsidR="00177B66" w:rsidRDefault="00177B66" w:rsidP="00177B66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2.1. Оцінка поточної ситуації</w:t>
      </w:r>
    </w:p>
    <w:p w:rsidR="00177B66" w:rsidRDefault="00177B66" w:rsidP="00177B66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Нормами процесуального законодавства передбачено, що судові рішення, що набрали законної сили, обов'язкові для всіх органів державної влади, органів місцевого самоврядування, підприємств, установ, організацій, посадових чи службових осіб та громадян і підлягають виконанню на всій територій України.</w:t>
      </w:r>
    </w:p>
    <w:p w:rsidR="00177B66" w:rsidRDefault="00177B66" w:rsidP="00177B66">
      <w:pPr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Враховуючи відсутність бюджетних призначень на виконання рішень суду, виникла необхідність прийняття Програми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забезпечення виконання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судових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рішень </w:t>
      </w:r>
      <w:r>
        <w:rPr>
          <w:rFonts w:ascii="Times New Roman" w:hAnsi="Times New Roman" w:cs="Times New Roman"/>
          <w:sz w:val="28"/>
          <w:szCs w:val="28"/>
        </w:rPr>
        <w:t xml:space="preserve">та виконавчих документів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 2025-2027 роки.</w:t>
      </w:r>
    </w:p>
    <w:p w:rsidR="00177B66" w:rsidRDefault="00177B66" w:rsidP="00177B66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2.2. Аналіз законодавчої бази</w:t>
      </w:r>
    </w:p>
    <w:p w:rsidR="00177B66" w:rsidRDefault="00177B66" w:rsidP="00177B66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Правовою основою Програми є Конституція України, Бюджетний кодекс України, Цивільний процесуальний кодекс України, Господарський процесуальний кодекс України, Кодекс адміністративного судочинства України, Закони України «Про місцеве самоврядування в Україні» (зі змінами), «Про виконавче провадження» (зі змінами), «Про гарантії держави щодо виконання судових рішень» (зі змінами), постанова Кабінету Міністрів України від 03.08.2011 р. № 845 «Про затвердження Порядку виконання рішень про стягнення коштів державного та місцевих бюджетів або боржників» (зі змінами), постанова Кабінету Міністрів Україні  від 31.01.2007 N 106 «Про затвердження Порядку розроблення та виконання державних цільових програм» зі змінами.</w:t>
      </w:r>
    </w:p>
    <w:p w:rsidR="00177B66" w:rsidRDefault="00177B66" w:rsidP="00177B66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 Мета і завдання Програми</w:t>
      </w:r>
    </w:p>
    <w:p w:rsidR="00177B66" w:rsidRDefault="00177B66" w:rsidP="00177B66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Метою цієї Програми є забезпечення виконання грошових зобов’язань, які виникли на підставі судових рішень про стягнення коштів з бюджету </w:t>
      </w:r>
      <w:proofErr w:type="spellStart"/>
      <w:r w:rsidR="00566DFA">
        <w:rPr>
          <w:rFonts w:ascii="Times New Roman" w:hAnsi="Times New Roman" w:cs="Times New Roman"/>
          <w:sz w:val="28"/>
          <w:szCs w:val="28"/>
        </w:rPr>
        <w:t>Дубівської</w:t>
      </w:r>
      <w:proofErr w:type="spellEnd"/>
      <w:r w:rsidR="00566DFA">
        <w:rPr>
          <w:rFonts w:ascii="Times New Roman" w:hAnsi="Times New Roman" w:cs="Times New Roman"/>
          <w:sz w:val="28"/>
          <w:szCs w:val="28"/>
        </w:rPr>
        <w:t xml:space="preserve"> селищної</w:t>
      </w:r>
      <w:r>
        <w:rPr>
          <w:rFonts w:ascii="Times New Roman" w:hAnsi="Times New Roman" w:cs="Times New Roman"/>
          <w:sz w:val="28"/>
          <w:szCs w:val="28"/>
        </w:rPr>
        <w:t xml:space="preserve"> територіальної громади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боржниками по яких є </w:t>
      </w:r>
      <w:proofErr w:type="spellStart"/>
      <w:r w:rsidR="00566DFA">
        <w:rPr>
          <w:rFonts w:ascii="Times New Roman" w:eastAsia="Times New Roman" w:hAnsi="Times New Roman" w:cs="Times New Roman"/>
          <w:sz w:val="28"/>
          <w:szCs w:val="28"/>
          <w:lang w:eastAsia="uk-UA"/>
        </w:rPr>
        <w:t>Дубівська</w:t>
      </w:r>
      <w:proofErr w:type="spellEnd"/>
      <w:r w:rsidR="00566D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селищна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рада та її виконавчі органи.</w:t>
      </w:r>
    </w:p>
    <w:p w:rsidR="00177B66" w:rsidRDefault="00177B66" w:rsidP="00177B66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Завданням Програми є вирішення питання щодо погашення заборгованості за судовими рішеннями про стягнення коштів з бюджету </w:t>
      </w:r>
      <w:proofErr w:type="spellStart"/>
      <w:r w:rsidR="00566DFA">
        <w:rPr>
          <w:rFonts w:ascii="Times New Roman" w:hAnsi="Times New Roman" w:cs="Times New Roman"/>
          <w:sz w:val="28"/>
          <w:szCs w:val="28"/>
        </w:rPr>
        <w:lastRenderedPageBreak/>
        <w:t>Дубівської</w:t>
      </w:r>
      <w:proofErr w:type="spellEnd"/>
      <w:r w:rsidR="00566DFA">
        <w:rPr>
          <w:rFonts w:ascii="Times New Roman" w:hAnsi="Times New Roman" w:cs="Times New Roman"/>
          <w:sz w:val="28"/>
          <w:szCs w:val="28"/>
        </w:rPr>
        <w:t xml:space="preserve"> селищної</w:t>
      </w:r>
      <w:r>
        <w:rPr>
          <w:rFonts w:ascii="Times New Roman" w:hAnsi="Times New Roman" w:cs="Times New Roman"/>
          <w:sz w:val="28"/>
          <w:szCs w:val="28"/>
        </w:rPr>
        <w:t xml:space="preserve"> територіальної громади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боржниками по яких є </w:t>
      </w:r>
      <w:proofErr w:type="spellStart"/>
      <w:r w:rsidR="00566DFA">
        <w:rPr>
          <w:rFonts w:ascii="Times New Roman" w:eastAsia="Times New Roman" w:hAnsi="Times New Roman" w:cs="Times New Roman"/>
          <w:sz w:val="28"/>
          <w:szCs w:val="28"/>
          <w:lang w:eastAsia="uk-UA"/>
        </w:rPr>
        <w:t>Дубівська</w:t>
      </w:r>
      <w:proofErr w:type="spellEnd"/>
      <w:r w:rsidR="00566D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селищна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рада та її виконавчі органи, одержувачі бюджетних коштів.</w:t>
      </w:r>
    </w:p>
    <w:p w:rsidR="00177B66" w:rsidRDefault="00177B66" w:rsidP="00177B66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4. Заходи Програми</w:t>
      </w:r>
    </w:p>
    <w:tbl>
      <w:tblPr>
        <w:tblW w:w="87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2329"/>
        <w:gridCol w:w="2389"/>
        <w:gridCol w:w="1983"/>
        <w:gridCol w:w="1458"/>
      </w:tblGrid>
      <w:tr w:rsidR="00177B66" w:rsidTr="00177B66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7B66" w:rsidRDefault="00177B6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№ п/п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7B66" w:rsidRDefault="00177B6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Назва заходів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7B66" w:rsidRDefault="00177B6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Відповідальні виконавці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7B66" w:rsidRDefault="00177B6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Джерело фінансування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7B66" w:rsidRDefault="00177B6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Термін виконання</w:t>
            </w:r>
          </w:p>
        </w:tc>
      </w:tr>
      <w:tr w:rsidR="00177B66" w:rsidTr="00177B66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7B66" w:rsidRDefault="00177B6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7B66" w:rsidRDefault="00177B66" w:rsidP="00566DFA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Погашення заборгованості за судовими рішеннями про стягнення коштів з бюджету </w:t>
            </w:r>
            <w:r w:rsidR="00566DF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селищної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територіальної громади, боржниками по яких є </w:t>
            </w:r>
            <w:proofErr w:type="spellStart"/>
            <w:r w:rsidR="00566DF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Дубівська</w:t>
            </w:r>
            <w:proofErr w:type="spellEnd"/>
            <w:r w:rsidR="00566DF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селищна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рада та її виконавчі органи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7B66" w:rsidRDefault="00566DFA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Дубівська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селищна рада</w:t>
            </w:r>
            <w:r w:rsidR="00177B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її виконавчі органи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7B66" w:rsidRDefault="00177B66" w:rsidP="00566DFA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Бюджет </w:t>
            </w:r>
            <w:proofErr w:type="spellStart"/>
            <w:r w:rsidR="00566DF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Дубівської</w:t>
            </w:r>
            <w:proofErr w:type="spellEnd"/>
            <w:r w:rsidR="00566DF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селищної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територіальної громади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7B66" w:rsidRDefault="00177B6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2025-2027 роки</w:t>
            </w:r>
          </w:p>
        </w:tc>
      </w:tr>
      <w:tr w:rsidR="00177B66" w:rsidTr="00177B66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7B66" w:rsidRDefault="00177B6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7B66" w:rsidRDefault="00177B6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Оплата судового збору, виконавчого збору за примусове виконання рішення суду, штрафів, додаткових витрат, які виникли внаслідок несвоєчасного виконання чи невиконання рішення суду, тощо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7B66" w:rsidRDefault="00566DFA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Дубівська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селищна</w:t>
            </w:r>
            <w:r w:rsidR="00177B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рада, її виконавчі органи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7B66" w:rsidRDefault="00177B66" w:rsidP="00566DFA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Бюджет </w:t>
            </w:r>
            <w:proofErr w:type="spellStart"/>
            <w:r w:rsidR="00566DF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Дубівської</w:t>
            </w:r>
            <w:proofErr w:type="spellEnd"/>
            <w:r w:rsidR="00566DF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селищної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територіальної громади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7B66" w:rsidRDefault="00177B6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2025-2027 роки</w:t>
            </w:r>
          </w:p>
        </w:tc>
      </w:tr>
    </w:tbl>
    <w:p w:rsidR="00177B66" w:rsidRDefault="00177B66" w:rsidP="00177B66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5. Очікувані результати від реалізації Програми</w:t>
      </w:r>
    </w:p>
    <w:p w:rsidR="00177B66" w:rsidRDefault="00177B66" w:rsidP="00177B66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Реалізація Програми надасть можливість:</w:t>
      </w:r>
    </w:p>
    <w:p w:rsidR="00177B66" w:rsidRDefault="00177B66" w:rsidP="00177B66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 зменшити негативні наслідки невиконання судових рішень (блокування рахунків, накладення штрафів, тощо);</w:t>
      </w:r>
    </w:p>
    <w:p w:rsidR="00177B66" w:rsidRDefault="00177B66" w:rsidP="00177B66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- забезпечити виконання судових рішень судів про стягнення коштів з боржників, які отримують кошти з бюджету </w:t>
      </w:r>
      <w:proofErr w:type="spellStart"/>
      <w:r w:rsidR="00566DFA">
        <w:rPr>
          <w:rFonts w:ascii="Times New Roman" w:hAnsi="Times New Roman" w:cs="Times New Roman"/>
          <w:sz w:val="28"/>
          <w:szCs w:val="28"/>
        </w:rPr>
        <w:t>Дубівської</w:t>
      </w:r>
      <w:proofErr w:type="spellEnd"/>
      <w:r w:rsidR="00566DFA">
        <w:rPr>
          <w:rFonts w:ascii="Times New Roman" w:hAnsi="Times New Roman" w:cs="Times New Roman"/>
          <w:sz w:val="28"/>
          <w:szCs w:val="28"/>
        </w:rPr>
        <w:t xml:space="preserve"> селищної</w:t>
      </w:r>
      <w:r>
        <w:rPr>
          <w:rFonts w:ascii="Times New Roman" w:hAnsi="Times New Roman" w:cs="Times New Roman"/>
          <w:sz w:val="28"/>
          <w:szCs w:val="28"/>
        </w:rPr>
        <w:t xml:space="preserve"> територіальної громади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77B66" w:rsidRDefault="00177B66" w:rsidP="00177B66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6. Фінансове забезпечення Програми</w:t>
      </w:r>
    </w:p>
    <w:p w:rsidR="00177B66" w:rsidRDefault="00177B66" w:rsidP="00177B66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Джерелом фінансування Програми є бюджет </w:t>
      </w:r>
      <w:proofErr w:type="spellStart"/>
      <w:r w:rsidR="00566DFA">
        <w:rPr>
          <w:rFonts w:ascii="Times New Roman" w:hAnsi="Times New Roman" w:cs="Times New Roman"/>
          <w:sz w:val="28"/>
          <w:szCs w:val="28"/>
        </w:rPr>
        <w:t>Дубівської</w:t>
      </w:r>
      <w:proofErr w:type="spellEnd"/>
      <w:r w:rsidR="00566DFA">
        <w:rPr>
          <w:rFonts w:ascii="Times New Roman" w:hAnsi="Times New Roman" w:cs="Times New Roman"/>
          <w:sz w:val="28"/>
          <w:szCs w:val="28"/>
        </w:rPr>
        <w:t xml:space="preserve"> селищної</w:t>
      </w:r>
      <w:r>
        <w:rPr>
          <w:rFonts w:ascii="Times New Roman" w:hAnsi="Times New Roman" w:cs="Times New Roman"/>
          <w:sz w:val="28"/>
          <w:szCs w:val="28"/>
        </w:rPr>
        <w:t xml:space="preserve"> територіальної громади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Фінансування Програми здійснюється в межах асигнувань, передбачених в бюджеті </w:t>
      </w:r>
      <w:proofErr w:type="spellStart"/>
      <w:r w:rsidR="00566DFA">
        <w:rPr>
          <w:rFonts w:ascii="Times New Roman" w:hAnsi="Times New Roman" w:cs="Times New Roman"/>
          <w:sz w:val="28"/>
          <w:szCs w:val="28"/>
        </w:rPr>
        <w:t>Дубівської</w:t>
      </w:r>
      <w:proofErr w:type="spellEnd"/>
      <w:r w:rsidR="00566DFA">
        <w:rPr>
          <w:rFonts w:ascii="Times New Roman" w:hAnsi="Times New Roman" w:cs="Times New Roman"/>
          <w:sz w:val="28"/>
          <w:szCs w:val="28"/>
        </w:rPr>
        <w:t xml:space="preserve"> селищної</w:t>
      </w:r>
      <w:r>
        <w:rPr>
          <w:rFonts w:ascii="Times New Roman" w:hAnsi="Times New Roman" w:cs="Times New Roman"/>
          <w:sz w:val="28"/>
          <w:szCs w:val="28"/>
        </w:rPr>
        <w:t xml:space="preserve"> територіальної громади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 зазначену мету ( додаток).</w:t>
      </w:r>
    </w:p>
    <w:p w:rsidR="00177B66" w:rsidRDefault="00177B66" w:rsidP="00177B66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7. Контроль за ходом виконання Програми</w:t>
      </w:r>
    </w:p>
    <w:p w:rsidR="00177B66" w:rsidRDefault="00177B66" w:rsidP="00177B66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Виконання Програми здійснюється шляхом реалізації її заходів.</w:t>
      </w:r>
    </w:p>
    <w:p w:rsidR="00177B66" w:rsidRDefault="00566DFA" w:rsidP="00177B66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Дубівська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селищна</w:t>
      </w:r>
      <w:r w:rsidR="00177B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рада, яка є головними розпорядником бюджетних коштів, забезпечу</w:t>
      </w:r>
      <w:r w:rsidR="006A485B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="00177B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реалізацію заходів Програми в повному обсязі та у визначені терміни.</w:t>
      </w:r>
    </w:p>
    <w:p w:rsidR="00177B66" w:rsidRDefault="00177B66" w:rsidP="00177B66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Внесення змін до Програми здійснюватиметься за процедурою внесення змін до рішень </w:t>
      </w:r>
      <w:r w:rsidR="00170858">
        <w:rPr>
          <w:rFonts w:ascii="Times New Roman" w:eastAsia="Times New Roman" w:hAnsi="Times New Roman" w:cs="Times New Roman"/>
          <w:sz w:val="28"/>
          <w:szCs w:val="28"/>
          <w:lang w:eastAsia="uk-UA"/>
        </w:rPr>
        <w:t>селищної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ради.</w:t>
      </w:r>
    </w:p>
    <w:p w:rsidR="00177B66" w:rsidRDefault="00177B66" w:rsidP="00177B66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Виконання </w:t>
      </w:r>
      <w:r w:rsidR="006A485B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рограми припиняється після закінчення встановленого строку, після чого юридичний  відділ </w:t>
      </w:r>
      <w:proofErr w:type="spellStart"/>
      <w:r w:rsidR="00170858">
        <w:rPr>
          <w:rFonts w:ascii="Times New Roman" w:eastAsia="Times New Roman" w:hAnsi="Times New Roman" w:cs="Times New Roman"/>
          <w:sz w:val="28"/>
          <w:szCs w:val="28"/>
          <w:lang w:eastAsia="uk-UA"/>
        </w:rPr>
        <w:t>Дубівської</w:t>
      </w:r>
      <w:proofErr w:type="spellEnd"/>
      <w:r w:rsidR="001708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селищної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ради складає заключний звіт про результати її виконання та подає його на розгляд сесії </w:t>
      </w:r>
      <w:r w:rsidR="00170858">
        <w:rPr>
          <w:rFonts w:ascii="Times New Roman" w:eastAsia="Times New Roman" w:hAnsi="Times New Roman" w:cs="Times New Roman"/>
          <w:sz w:val="28"/>
          <w:szCs w:val="28"/>
          <w:lang w:eastAsia="uk-UA"/>
        </w:rPr>
        <w:t>селищної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ради разом із пояснювальною запискою про кінцеві результати виконання програми не пізніше ніж у двомісячний строк після закінчення встановленого строку її виконання.</w:t>
      </w:r>
    </w:p>
    <w:p w:rsidR="00177B66" w:rsidRPr="00170858" w:rsidRDefault="00177B66" w:rsidP="00177B66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Загальний контроль за ходом виконання Програми здійснюється: виконавчим комітетом </w:t>
      </w:r>
      <w:r w:rsidR="00170858">
        <w:rPr>
          <w:rFonts w:ascii="Times New Roman" w:eastAsia="Times New Roman" w:hAnsi="Times New Roman" w:cs="Times New Roman"/>
          <w:sz w:val="28"/>
          <w:szCs w:val="28"/>
          <w:lang w:eastAsia="uk-UA"/>
        </w:rPr>
        <w:t>селищної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ради, постійною комісією </w:t>
      </w:r>
      <w:r w:rsidR="00170858">
        <w:rPr>
          <w:rFonts w:ascii="Times New Roman" w:eastAsia="Times New Roman" w:hAnsi="Times New Roman" w:cs="Times New Roman"/>
          <w:sz w:val="28"/>
          <w:szCs w:val="28"/>
          <w:lang w:eastAsia="uk-UA"/>
        </w:rPr>
        <w:t>селищної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ради з питань </w:t>
      </w:r>
      <w:r w:rsidR="00170858" w:rsidRPr="00170858">
        <w:rPr>
          <w:rFonts w:ascii="Times New Roman" w:hAnsi="Times New Roman" w:cs="Times New Roman"/>
          <w:sz w:val="28"/>
          <w:szCs w:val="28"/>
        </w:rPr>
        <w:t>планування фінансів, бюджету, соціально-економічного розвитку, промисловості, підприємництва та сфери послуг</w:t>
      </w:r>
      <w:r w:rsidRPr="0017085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77B66" w:rsidRDefault="00177B66" w:rsidP="00177B66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Контроль за використанням бюджетних коштів, спрямованих на забезпечення виконання Програми, здійснюється в порядку, встановленому бюджетним законодавством України.</w:t>
      </w:r>
    </w:p>
    <w:p w:rsidR="00177B66" w:rsidRDefault="00177B66" w:rsidP="00177B66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177B66" w:rsidRDefault="00177B66" w:rsidP="00177B66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177B66" w:rsidRDefault="00177B66" w:rsidP="00177B66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177B66" w:rsidRDefault="00177B66" w:rsidP="00177B66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177B66" w:rsidRDefault="00177B66" w:rsidP="00177B66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177B66" w:rsidRDefault="00177B66" w:rsidP="00177B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177B66" w:rsidRDefault="00177B66" w:rsidP="00177B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177B66" w:rsidRDefault="00177B66" w:rsidP="00177B66">
      <w:pPr>
        <w:shd w:val="clear" w:color="auto" w:fill="FFFFFF"/>
        <w:spacing w:before="225" w:after="225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uk-UA"/>
        </w:rPr>
      </w:pPr>
    </w:p>
    <w:p w:rsidR="00177B66" w:rsidRDefault="00177B66" w:rsidP="00177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 xml:space="preserve">                                                                           </w:t>
      </w:r>
    </w:p>
    <w:p w:rsidR="00177B66" w:rsidRDefault="00177B66" w:rsidP="00177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177B66" w:rsidRDefault="00177B66" w:rsidP="00177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177B66" w:rsidRDefault="00177B66" w:rsidP="00177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177B66" w:rsidRDefault="00177B66" w:rsidP="00177B66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Додаток до Програми </w:t>
      </w:r>
    </w:p>
    <w:p w:rsidR="00177B66" w:rsidRDefault="00177B66" w:rsidP="00177B66">
      <w:pPr>
        <w:shd w:val="clear" w:color="auto" w:fill="FFFFFF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забезпечення виконання судових  рішень </w:t>
      </w:r>
      <w:r>
        <w:rPr>
          <w:rFonts w:ascii="Times New Roman" w:hAnsi="Times New Roman" w:cs="Times New Roman"/>
          <w:sz w:val="28"/>
          <w:szCs w:val="28"/>
        </w:rPr>
        <w:t xml:space="preserve">та виконавчих документів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 2025-2027 роки</w:t>
      </w:r>
    </w:p>
    <w:p w:rsidR="00177B66" w:rsidRDefault="00177B66" w:rsidP="00177B66">
      <w:pPr>
        <w:shd w:val="clear" w:color="auto" w:fill="FFFFFF"/>
        <w:spacing w:before="225" w:after="225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177B66" w:rsidRDefault="00177B66" w:rsidP="00177B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Завдання та заходи Програми забезпечення виконання судових  рішень </w:t>
      </w:r>
      <w:r>
        <w:rPr>
          <w:rFonts w:ascii="Times New Roman" w:hAnsi="Times New Roman" w:cs="Times New Roman"/>
          <w:b/>
          <w:sz w:val="28"/>
          <w:szCs w:val="28"/>
        </w:rPr>
        <w:t xml:space="preserve">та виконавчих документів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 2025-2027 роки</w:t>
      </w:r>
    </w:p>
    <w:p w:rsidR="00177B66" w:rsidRDefault="00177B66" w:rsidP="00177B66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pPr w:leftFromText="45" w:rightFromText="45" w:bottomFromText="160" w:vertAnchor="text"/>
        <w:tblW w:w="96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7"/>
        <w:gridCol w:w="1649"/>
        <w:gridCol w:w="1890"/>
        <w:gridCol w:w="1702"/>
        <w:gridCol w:w="1702"/>
      </w:tblGrid>
      <w:tr w:rsidR="00177B66" w:rsidTr="00177B66">
        <w:trPr>
          <w:trHeight w:val="964"/>
        </w:trPr>
        <w:tc>
          <w:tcPr>
            <w:tcW w:w="27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7B66" w:rsidRDefault="00177B6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Найменування заходів і завдань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:rsidR="00177B66" w:rsidRDefault="00177B6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Усього фінансування Програми, у тому числі:</w:t>
            </w:r>
          </w:p>
        </w:tc>
        <w:tc>
          <w:tcPr>
            <w:tcW w:w="52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7B66" w:rsidRDefault="00177B66" w:rsidP="0009149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Терміни виконання/ обсяги фінансування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тис.грн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):</w:t>
            </w:r>
          </w:p>
        </w:tc>
      </w:tr>
      <w:tr w:rsidR="00177B66" w:rsidTr="00177B66">
        <w:trPr>
          <w:trHeight w:val="668"/>
        </w:trPr>
        <w:tc>
          <w:tcPr>
            <w:tcW w:w="27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66" w:rsidRDefault="00177B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6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77B66" w:rsidRDefault="00177B6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7B66" w:rsidRDefault="00177B6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2025 рік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7B66" w:rsidRDefault="00177B6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2026 рік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7B66" w:rsidRDefault="00177B6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2027 рік</w:t>
            </w:r>
          </w:p>
        </w:tc>
      </w:tr>
      <w:tr w:rsidR="00177B66" w:rsidTr="00177B66">
        <w:trPr>
          <w:trHeight w:val="2826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7B66" w:rsidRDefault="00177B66" w:rsidP="0061772F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Кількість рішень суду щодо безспірного списання коштів з бюджету </w:t>
            </w:r>
            <w:proofErr w:type="spellStart"/>
            <w:r w:rsidR="0061772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Дубівської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61772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селищної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територіальної громади, боржниками по яких є виконавчі органи  </w:t>
            </w:r>
            <w:r w:rsidR="0061772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селищної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ради, бюджетні установи, заклади, організації та одержувачі бюджетних коштів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77B66" w:rsidRDefault="00177B6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7B66" w:rsidRDefault="00177B6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 мірі надходження таких рішень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7B66" w:rsidRDefault="00177B6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 мірі надходження таких рішень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7B66" w:rsidRDefault="00177B6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 мірі надходження таких рішень</w:t>
            </w:r>
          </w:p>
        </w:tc>
      </w:tr>
      <w:tr w:rsidR="00177B66" w:rsidTr="00177B66"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7B66" w:rsidRDefault="00177B6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Сума заборгованості, що підлягає безспірному списанню відповідно до рішень суду 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7B66" w:rsidRDefault="0074315B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4 100</w:t>
            </w:r>
            <w:r w:rsidR="00177B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,0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7B66" w:rsidRDefault="00177B66" w:rsidP="0074315B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1 </w:t>
            </w:r>
            <w:r w:rsidR="0074315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7B66" w:rsidRDefault="00177B6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1 200,0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7B66" w:rsidRDefault="00177B6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1 200,0</w:t>
            </w:r>
          </w:p>
        </w:tc>
      </w:tr>
      <w:tr w:rsidR="00177B66" w:rsidTr="00177B66"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B66" w:rsidRDefault="00177B6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Сума судового збору, виконавчого збору,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 xml:space="preserve">штрафів  та додаткових витрат, які виникли внаслідок несвоєчасного виконання чи невиконання рішення  суду, та підлягають відшкодуванню 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7B66" w:rsidRDefault="0074315B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150</w:t>
            </w:r>
            <w:r w:rsidR="00177B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,0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7B66" w:rsidRDefault="0074315B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  <w:r w:rsidR="00177B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7B66" w:rsidRDefault="0074315B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  <w:r w:rsidR="00177B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7B66" w:rsidRDefault="0074315B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  <w:r w:rsidR="00177B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</w:t>
            </w:r>
          </w:p>
        </w:tc>
      </w:tr>
      <w:tr w:rsidR="00177B66" w:rsidTr="00177B66"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7B66" w:rsidRDefault="00177B6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 xml:space="preserve">Сума фактичного погашення заборгованості, що підлягала безспірному списанню відповідно до рішення суду 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7B66" w:rsidRDefault="0074315B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300</w:t>
            </w:r>
            <w:r w:rsidR="00177B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,0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7B66" w:rsidRDefault="0074315B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  <w:r w:rsidR="00177B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7B66" w:rsidRDefault="0074315B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  <w:r w:rsidR="00177B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7B66" w:rsidRDefault="0074315B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  <w:r w:rsidR="00177B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,0</w:t>
            </w:r>
          </w:p>
        </w:tc>
      </w:tr>
      <w:tr w:rsidR="00177B66" w:rsidTr="00177B66">
        <w:trPr>
          <w:trHeight w:val="4016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B66" w:rsidRDefault="00177B6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Сума фактичного відшкодування судового збору, виконавчого збору, штрафів  та  додаткових витрат, які виникли внаслідок несвоєчасного виконання чи невиконання рішення суду, тощо </w:t>
            </w:r>
          </w:p>
          <w:p w:rsidR="00177B66" w:rsidRDefault="00177B6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177B66" w:rsidRDefault="00177B6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177B66" w:rsidRDefault="00177B6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7B66" w:rsidRDefault="0074315B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  <w:r w:rsidR="00177B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00,0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7B66" w:rsidRDefault="0074315B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  <w:r w:rsidR="00177B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7B66" w:rsidRDefault="0074315B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  <w:r w:rsidR="00177B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B66" w:rsidRDefault="0074315B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  <w:r w:rsidR="00177B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,0</w:t>
            </w:r>
          </w:p>
          <w:p w:rsidR="00177B66" w:rsidRDefault="00177B6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177B66" w:rsidRDefault="00177B6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177B66" w:rsidRDefault="00177B6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177B66" w:rsidRDefault="00177B6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177B66" w:rsidRDefault="00177B6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177B66" w:rsidRDefault="00177B6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177B66" w:rsidRDefault="00177B6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177B66" w:rsidRDefault="00177B6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177B66" w:rsidRDefault="00177B6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77B66" w:rsidTr="00177B66"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B66" w:rsidRDefault="00177B6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Усього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7B66" w:rsidRDefault="0074315B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4 850</w:t>
            </w:r>
            <w:r w:rsidR="00177B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,0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7B66" w:rsidRDefault="0074315B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19</w:t>
            </w:r>
            <w:r w:rsidR="00177B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50,0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7B66" w:rsidRDefault="0074315B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14</w:t>
            </w:r>
            <w:r w:rsidR="00177B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50,0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7B66" w:rsidRDefault="0074315B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14</w:t>
            </w:r>
            <w:r w:rsidR="00177B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50,0</w:t>
            </w:r>
          </w:p>
        </w:tc>
      </w:tr>
    </w:tbl>
    <w:p w:rsidR="00177B66" w:rsidRDefault="00177B66" w:rsidP="00177B66">
      <w:pPr>
        <w:tabs>
          <w:tab w:val="left" w:pos="0"/>
          <w:tab w:val="left" w:pos="42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0D56" w:rsidRPr="00FC29A0" w:rsidRDefault="007D0D56" w:rsidP="007D0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D0D56" w:rsidRDefault="007D0D56" w:rsidP="007D0D56">
      <w:pPr>
        <w:tabs>
          <w:tab w:val="left" w:pos="0"/>
          <w:tab w:val="left" w:pos="42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0D56" w:rsidRPr="00FC29A0" w:rsidRDefault="007D0D56" w:rsidP="007D0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7D0D56" w:rsidRPr="00FC29A0" w:rsidSect="00A312E8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90E15"/>
    <w:multiLevelType w:val="multilevel"/>
    <w:tmpl w:val="40E648C6"/>
    <w:lvl w:ilvl="0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</w:lvl>
    <w:lvl w:ilvl="1">
      <w:start w:val="2"/>
      <w:numFmt w:val="decimal"/>
      <w:isLgl/>
      <w:lvlText w:val="%1.%2."/>
      <w:lvlJc w:val="left"/>
      <w:pPr>
        <w:ind w:left="592" w:hanging="525"/>
      </w:pPr>
    </w:lvl>
    <w:lvl w:ilvl="2">
      <w:start w:val="1"/>
      <w:numFmt w:val="decimal"/>
      <w:isLgl/>
      <w:lvlText w:val="%1.%2.%3."/>
      <w:lvlJc w:val="left"/>
      <w:pPr>
        <w:ind w:left="787" w:hanging="720"/>
      </w:pPr>
    </w:lvl>
    <w:lvl w:ilvl="3">
      <w:start w:val="1"/>
      <w:numFmt w:val="decimal"/>
      <w:isLgl/>
      <w:lvlText w:val="%1.%2.%3.%4."/>
      <w:lvlJc w:val="left"/>
      <w:pPr>
        <w:ind w:left="787" w:hanging="720"/>
      </w:pPr>
    </w:lvl>
    <w:lvl w:ilvl="4">
      <w:start w:val="1"/>
      <w:numFmt w:val="decimal"/>
      <w:isLgl/>
      <w:lvlText w:val="%1.%2.%3.%4.%5."/>
      <w:lvlJc w:val="left"/>
      <w:pPr>
        <w:ind w:left="1147" w:hanging="1080"/>
      </w:pPr>
    </w:lvl>
    <w:lvl w:ilvl="5">
      <w:start w:val="1"/>
      <w:numFmt w:val="decimal"/>
      <w:isLgl/>
      <w:lvlText w:val="%1.%2.%3.%4.%5.%6."/>
      <w:lvlJc w:val="left"/>
      <w:pPr>
        <w:ind w:left="1147" w:hanging="1080"/>
      </w:pPr>
    </w:lvl>
    <w:lvl w:ilvl="6">
      <w:start w:val="1"/>
      <w:numFmt w:val="decimal"/>
      <w:isLgl/>
      <w:lvlText w:val="%1.%2.%3.%4.%5.%6.%7."/>
      <w:lvlJc w:val="left"/>
      <w:pPr>
        <w:ind w:left="1507" w:hanging="1440"/>
      </w:pPr>
    </w:lvl>
    <w:lvl w:ilvl="7">
      <w:start w:val="1"/>
      <w:numFmt w:val="decimal"/>
      <w:isLgl/>
      <w:lvlText w:val="%1.%2.%3.%4.%5.%6.%7.%8."/>
      <w:lvlJc w:val="left"/>
      <w:pPr>
        <w:ind w:left="1507" w:hanging="1440"/>
      </w:pPr>
    </w:lvl>
    <w:lvl w:ilvl="8">
      <w:start w:val="1"/>
      <w:numFmt w:val="decimal"/>
      <w:isLgl/>
      <w:lvlText w:val="%1.%2.%3.%4.%5.%6.%7.%8.%9."/>
      <w:lvlJc w:val="left"/>
      <w:pPr>
        <w:ind w:left="1867" w:hanging="1800"/>
      </w:pPr>
    </w:lvl>
  </w:abstractNum>
  <w:abstractNum w:abstractNumId="1">
    <w:nsid w:val="617766D0"/>
    <w:multiLevelType w:val="multilevel"/>
    <w:tmpl w:val="40E648C6"/>
    <w:lvl w:ilvl="0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</w:lvl>
    <w:lvl w:ilvl="1">
      <w:start w:val="2"/>
      <w:numFmt w:val="decimal"/>
      <w:isLgl/>
      <w:lvlText w:val="%1.%2."/>
      <w:lvlJc w:val="left"/>
      <w:pPr>
        <w:ind w:left="4637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7" w:hanging="1800"/>
      </w:pPr>
      <w:rPr>
        <w:rFonts w:hint="default"/>
      </w:rPr>
    </w:lvl>
  </w:abstractNum>
  <w:abstractNum w:abstractNumId="2">
    <w:nsid w:val="6C67069C"/>
    <w:multiLevelType w:val="hybridMultilevel"/>
    <w:tmpl w:val="94E20DE4"/>
    <w:lvl w:ilvl="0" w:tplc="31EA30BA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A4E"/>
    <w:rsid w:val="0009149E"/>
    <w:rsid w:val="000B1030"/>
    <w:rsid w:val="001605CD"/>
    <w:rsid w:val="00170858"/>
    <w:rsid w:val="00177B66"/>
    <w:rsid w:val="00276433"/>
    <w:rsid w:val="002E49BC"/>
    <w:rsid w:val="00376A4E"/>
    <w:rsid w:val="00556DD2"/>
    <w:rsid w:val="00566DFA"/>
    <w:rsid w:val="005A63F7"/>
    <w:rsid w:val="0061772F"/>
    <w:rsid w:val="006A363B"/>
    <w:rsid w:val="006A485B"/>
    <w:rsid w:val="0074315B"/>
    <w:rsid w:val="007C1BF6"/>
    <w:rsid w:val="007D0D56"/>
    <w:rsid w:val="007E16CD"/>
    <w:rsid w:val="00847961"/>
    <w:rsid w:val="00891949"/>
    <w:rsid w:val="009F072A"/>
    <w:rsid w:val="00A038A3"/>
    <w:rsid w:val="00A270D4"/>
    <w:rsid w:val="00A312E8"/>
    <w:rsid w:val="00A33104"/>
    <w:rsid w:val="00BC29AE"/>
    <w:rsid w:val="00DA43BE"/>
    <w:rsid w:val="00E115A4"/>
    <w:rsid w:val="00E3682D"/>
    <w:rsid w:val="00F5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AE"/>
    <w:pPr>
      <w:spacing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29AE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BC2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29AE"/>
    <w:rPr>
      <w:rFonts w:ascii="Segoe UI" w:hAnsi="Segoe UI" w:cs="Segoe UI"/>
      <w:sz w:val="18"/>
      <w:szCs w:val="18"/>
      <w:lang w:val="uk-UA"/>
    </w:rPr>
  </w:style>
  <w:style w:type="paragraph" w:customStyle="1" w:styleId="326">
    <w:name w:val="Заголовок 326"/>
    <w:basedOn w:val="a"/>
    <w:rsid w:val="006A363B"/>
    <w:pPr>
      <w:spacing w:before="167" w:after="167" w:line="240" w:lineRule="auto"/>
      <w:outlineLvl w:val="3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6">
    <w:name w:val="List Paragraph"/>
    <w:basedOn w:val="a"/>
    <w:uiPriority w:val="34"/>
    <w:qFormat/>
    <w:rsid w:val="007E16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AE"/>
    <w:pPr>
      <w:spacing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29AE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BC2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29AE"/>
    <w:rPr>
      <w:rFonts w:ascii="Segoe UI" w:hAnsi="Segoe UI" w:cs="Segoe UI"/>
      <w:sz w:val="18"/>
      <w:szCs w:val="18"/>
      <w:lang w:val="uk-UA"/>
    </w:rPr>
  </w:style>
  <w:style w:type="paragraph" w:customStyle="1" w:styleId="326">
    <w:name w:val="Заголовок 326"/>
    <w:basedOn w:val="a"/>
    <w:rsid w:val="006A363B"/>
    <w:pPr>
      <w:spacing w:before="167" w:after="167" w:line="240" w:lineRule="auto"/>
      <w:outlineLvl w:val="3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6">
    <w:name w:val="List Paragraph"/>
    <w:basedOn w:val="a"/>
    <w:uiPriority w:val="34"/>
    <w:qFormat/>
    <w:rsid w:val="007E1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2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4847</Words>
  <Characters>2764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shilo</dc:creator>
  <cp:lastModifiedBy>КСР</cp:lastModifiedBy>
  <cp:revision>9</cp:revision>
  <cp:lastPrinted>2024-04-24T05:10:00Z</cp:lastPrinted>
  <dcterms:created xsi:type="dcterms:W3CDTF">2025-07-01T11:48:00Z</dcterms:created>
  <dcterms:modified xsi:type="dcterms:W3CDTF">2025-07-02T06:37:00Z</dcterms:modified>
</cp:coreProperties>
</file>