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DA17" w14:textId="77777777" w:rsidR="009D0E81" w:rsidRPr="006A61CC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74A159ED" w14:textId="77777777" w:rsidR="0061117E" w:rsidRPr="006A61CC" w:rsidRDefault="0061117E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Міністерства у справах ветеранів України </w:t>
      </w:r>
    </w:p>
    <w:p w14:paraId="6D03D46E" w14:textId="77777777" w:rsidR="009D0E81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61117E"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</w:t>
      </w: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 w:rsidR="0061117E"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</w:t>
      </w: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.2023 № </w:t>
      </w:r>
      <w:r w:rsidR="0061117E"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145</w:t>
      </w:r>
    </w:p>
    <w:p w14:paraId="23D14EB4" w14:textId="77777777" w:rsidR="006871D8" w:rsidRPr="00C0224F" w:rsidRDefault="006871D8" w:rsidP="006871D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0224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(в редакції наказу Міністерства у справах ветеранів України</w:t>
      </w:r>
    </w:p>
    <w:p w14:paraId="45713A2B" w14:textId="2FC50304" w:rsidR="006871D8" w:rsidRPr="006A61CC" w:rsidRDefault="006871D8" w:rsidP="006871D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0224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19 червня 2025 року № 499)</w:t>
      </w:r>
    </w:p>
    <w:p w14:paraId="46F97021" w14:textId="77777777" w:rsidR="0088106E" w:rsidRPr="006A61CC" w:rsidRDefault="006A448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A4F78AE" w14:textId="77777777" w:rsidR="009B1A3B" w:rsidRPr="006A61CC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5D58B1F" w14:textId="77777777" w:rsidR="002D3CAA" w:rsidRPr="006A61CC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773304" w:rsidRPr="006A61CC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6A61CC" w:rsidRPr="006A61CC">
        <w:rPr>
          <w:rFonts w:ascii="Times New Roman" w:hAnsi="Times New Roman"/>
          <w:b/>
          <w:sz w:val="28"/>
          <w:szCs w:val="28"/>
          <w:u w:val="single"/>
          <w:lang w:val="uk-UA"/>
        </w:rPr>
        <w:t>285</w:t>
      </w:r>
    </w:p>
    <w:p w14:paraId="6C46EAEB" w14:textId="77777777" w:rsidR="006A61CC" w:rsidRDefault="006A61CC" w:rsidP="006A61C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u w:val="single"/>
          <w:lang w:val="uk-UA"/>
        </w:rPr>
        <w:t>Позбавлення статусу учасника бойових дій за заявою такої особи</w:t>
      </w:r>
    </w:p>
    <w:p w14:paraId="3F860E7A" w14:textId="4B20F447" w:rsidR="004C1247" w:rsidRPr="004C1247" w:rsidRDefault="004C1247" w:rsidP="004C1247">
      <w:pPr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4C1247">
        <w:rPr>
          <w:rFonts w:ascii="Times New Roman" w:hAnsi="Times New Roman"/>
          <w:bCs/>
          <w:sz w:val="28"/>
          <w:szCs w:val="28"/>
          <w:u w:val="single"/>
          <w:lang w:val="uk-UA"/>
        </w:rPr>
        <w:t>(щодо учасників бойових дій, зазначених у пунктах 21 та 25 частини першої статті 6 Закону України “Про статус ветеранів війни,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4C1247">
        <w:rPr>
          <w:rFonts w:ascii="Times New Roman" w:hAnsi="Times New Roman"/>
          <w:bCs/>
          <w:sz w:val="28"/>
          <w:szCs w:val="28"/>
          <w:u w:val="single"/>
          <w:lang w:val="uk-UA"/>
        </w:rPr>
        <w:t>гарантії їх соціального захисту”, яким посвідчення учасника бойових дій видано Міністерством у справах ветеранів України на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4C1247">
        <w:rPr>
          <w:rFonts w:ascii="Times New Roman" w:hAnsi="Times New Roman"/>
          <w:bCs/>
          <w:sz w:val="28"/>
          <w:szCs w:val="28"/>
          <w:u w:val="single"/>
          <w:lang w:val="uk-UA"/>
        </w:rPr>
        <w:t>підставі рішення міжвідомчої комісії, утвореної Мінветеранів)</w:t>
      </w:r>
    </w:p>
    <w:p w14:paraId="77AF1E39" w14:textId="77777777" w:rsidR="006A61CC" w:rsidRPr="006A61CC" w:rsidRDefault="006A61CC" w:rsidP="006A61CC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6A61CC" w14:paraId="45380E04" w14:textId="77777777" w:rsidTr="00FE2188">
        <w:trPr>
          <w:trHeight w:val="537"/>
        </w:trPr>
        <w:tc>
          <w:tcPr>
            <w:tcW w:w="9925" w:type="dxa"/>
            <w:gridSpan w:val="3"/>
          </w:tcPr>
          <w:p w14:paraId="14275D6E" w14:textId="77777777" w:rsidR="00C83615" w:rsidRPr="006A61CC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>Ц</w:t>
            </w:r>
            <w:r w:rsidRPr="006A61CC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6A61CC" w14:paraId="62ED7C67" w14:textId="77777777" w:rsidTr="009D0E81">
        <w:trPr>
          <w:trHeight w:val="604"/>
        </w:trPr>
        <w:tc>
          <w:tcPr>
            <w:tcW w:w="516" w:type="dxa"/>
          </w:tcPr>
          <w:p w14:paraId="127E8D1E" w14:textId="77777777" w:rsidR="000E760B" w:rsidRPr="006A61CC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14:paraId="1BF86D53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14:paraId="2486D030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6A61CC">
              <w:rPr>
                <w:rFonts w:ascii="Times New Roman" w:hAnsi="Times New Roman"/>
                <w:lang w:val="uk-UA"/>
              </w:rPr>
              <w:t xml:space="preserve"> </w:t>
            </w:r>
            <w:r w:rsidRPr="006A61CC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6A61CC" w14:paraId="7FAD5F3D" w14:textId="77777777" w:rsidTr="009D0E81">
        <w:trPr>
          <w:trHeight w:val="1035"/>
        </w:trPr>
        <w:tc>
          <w:tcPr>
            <w:tcW w:w="516" w:type="dxa"/>
          </w:tcPr>
          <w:p w14:paraId="4BCA79BF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14:paraId="31AD77AB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14:paraId="66D4A872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074F08A4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7E0B2C47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DAEA28C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7F9E86FC" w14:textId="77777777" w:rsidR="003D434F" w:rsidRPr="006A61CC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4C1247" w14:paraId="574C566A" w14:textId="77777777" w:rsidTr="009D0E81">
        <w:trPr>
          <w:trHeight w:val="985"/>
        </w:trPr>
        <w:tc>
          <w:tcPr>
            <w:tcW w:w="516" w:type="dxa"/>
          </w:tcPr>
          <w:p w14:paraId="392BA45E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14:paraId="5A4D71B4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80FF223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14:paraId="650203D9" w14:textId="77777777" w:rsidR="006871D8" w:rsidRPr="00C0224F" w:rsidRDefault="006871D8" w:rsidP="006871D8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C0224F">
              <w:rPr>
                <w:rFonts w:ascii="Times New Roman" w:hAnsi="Times New Roman"/>
                <w:lang w:val="uk-UA"/>
              </w:rPr>
              <w:t xml:space="preserve">тел.+380669003212 </w:t>
            </w:r>
            <w:r w:rsidRPr="00830FCF">
              <w:rPr>
                <w:rStyle w:val="af5"/>
                <w:rFonts w:eastAsia="Calibri"/>
                <w:lang w:val="uk-UA"/>
              </w:rPr>
              <w:t>cnap@martynivka-gromada.gov.ua</w:t>
            </w:r>
            <w:r w:rsidRPr="00830FCF">
              <w:rPr>
                <w:rFonts w:ascii="Times New Roman" w:hAnsi="Times New Roman"/>
                <w:lang w:val="uk-UA"/>
              </w:rPr>
              <w:t xml:space="preserve"> </w:t>
            </w:r>
            <w:hyperlink r:id="rId7" w:history="1">
              <w:r w:rsidRPr="00C0224F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195A9AEA" w14:textId="77777777" w:rsidR="006871D8" w:rsidRDefault="006871D8" w:rsidP="006871D8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830FCF">
              <w:rPr>
                <w:rStyle w:val="af5"/>
                <w:rFonts w:ascii="Times New Roman" w:hAnsi="Times New Roman"/>
                <w:lang w:val="uk-UA"/>
              </w:rPr>
              <w:t xml:space="preserve">https://martynivka-gromada.gov.ua/ </w:t>
            </w:r>
          </w:p>
          <w:p w14:paraId="558B2D0E" w14:textId="43F5B8E2" w:rsidR="003D434F" w:rsidRPr="006A61CC" w:rsidRDefault="006871D8" w:rsidP="006871D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C0224F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6A61CC" w14:paraId="64406DD8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69C02AA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4A1F0BA6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240EBB9E" w14:textId="77777777" w:rsidR="00FE2188" w:rsidRPr="006A61CC" w:rsidRDefault="00773304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Міністерство у справах ветеранів України</w:t>
            </w:r>
          </w:p>
        </w:tc>
      </w:tr>
      <w:tr w:rsidR="009D0E81" w:rsidRPr="006A61CC" w14:paraId="2049282C" w14:textId="77777777" w:rsidTr="009D0E81">
        <w:trPr>
          <w:trHeight w:val="586"/>
        </w:trPr>
        <w:tc>
          <w:tcPr>
            <w:tcW w:w="516" w:type="dxa"/>
          </w:tcPr>
          <w:p w14:paraId="16C2E252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14:paraId="4D711803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14:paraId="6F9C53CC" w14:textId="77777777" w:rsidR="006871D8" w:rsidRPr="006871D8" w:rsidRDefault="006871D8" w:rsidP="006871D8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871D8">
              <w:rPr>
                <w:rFonts w:ascii="Times New Roman" w:hAnsi="Times New Roman"/>
                <w:color w:val="000000" w:themeColor="text1"/>
                <w:lang w:val="uk-UA"/>
              </w:rPr>
              <w:t>вулиця Хрещатик, буд. 34, м. Київ, 01001</w:t>
            </w:r>
          </w:p>
          <w:p w14:paraId="06B31C16" w14:textId="10390950" w:rsidR="009D0E81" w:rsidRPr="006871D8" w:rsidRDefault="009D0E81" w:rsidP="009D0E81">
            <w:pPr>
              <w:spacing w:line="256" w:lineRule="auto"/>
              <w:ind w:left="139"/>
              <w:rPr>
                <w:rFonts w:ascii="Times New Roman" w:hAnsi="Times New Roman"/>
                <w:color w:val="FF0000"/>
              </w:rPr>
            </w:pPr>
          </w:p>
        </w:tc>
      </w:tr>
      <w:tr w:rsidR="009D0E81" w:rsidRPr="006A61CC" w14:paraId="33E90F6F" w14:textId="77777777" w:rsidTr="009D0E81">
        <w:trPr>
          <w:trHeight w:val="745"/>
        </w:trPr>
        <w:tc>
          <w:tcPr>
            <w:tcW w:w="516" w:type="dxa"/>
          </w:tcPr>
          <w:p w14:paraId="3196F1F5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14:paraId="06CD12E8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14:paraId="13EF5EC9" w14:textId="77777777" w:rsidR="006871D8" w:rsidRPr="006871D8" w:rsidRDefault="006871D8" w:rsidP="006871D8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871D8">
              <w:rPr>
                <w:rFonts w:ascii="Times New Roman" w:hAnsi="Times New Roman"/>
                <w:color w:val="000000" w:themeColor="text1"/>
                <w:lang w:val="uk-UA"/>
              </w:rPr>
              <w:t>Тел.: 063 688 95 96</w:t>
            </w:r>
          </w:p>
          <w:p w14:paraId="6113FB0B" w14:textId="77777777" w:rsidR="006871D8" w:rsidRPr="006871D8" w:rsidRDefault="006871D8" w:rsidP="006871D8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871D8">
              <w:rPr>
                <w:rFonts w:ascii="Times New Roman" w:hAnsi="Times New Roman"/>
                <w:color w:val="000000" w:themeColor="text1"/>
                <w:lang w:val="uk-UA"/>
              </w:rPr>
              <w:t>control@mva.gov.ua (адреса електронної пошти)</w:t>
            </w:r>
          </w:p>
          <w:p w14:paraId="045B0C07" w14:textId="5692AD69" w:rsidR="009D0E81" w:rsidRPr="006A61CC" w:rsidRDefault="006871D8" w:rsidP="006871D8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6871D8">
              <w:rPr>
                <w:rFonts w:ascii="Times New Roman" w:hAnsi="Times New Roman"/>
                <w:color w:val="000000" w:themeColor="text1"/>
                <w:lang w:val="uk-UA"/>
              </w:rPr>
              <w:t>https://mva.gov.ua/ (вебсайт)</w:t>
            </w:r>
          </w:p>
        </w:tc>
      </w:tr>
      <w:tr w:rsidR="00BD3490" w:rsidRPr="006A61CC" w14:paraId="5410C02B" w14:textId="77777777" w:rsidTr="00FE2188">
        <w:trPr>
          <w:trHeight w:val="420"/>
        </w:trPr>
        <w:tc>
          <w:tcPr>
            <w:tcW w:w="9925" w:type="dxa"/>
            <w:gridSpan w:val="3"/>
          </w:tcPr>
          <w:p w14:paraId="0F01D338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        </w:t>
            </w:r>
            <w:r w:rsidRPr="006A61CC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6A61CC" w14:paraId="6955BAEF" w14:textId="77777777" w:rsidTr="009D0E81">
        <w:trPr>
          <w:trHeight w:val="711"/>
        </w:trPr>
        <w:tc>
          <w:tcPr>
            <w:tcW w:w="516" w:type="dxa"/>
          </w:tcPr>
          <w:p w14:paraId="21A90DA3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6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6D7CDBC9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14:paraId="3AC1AB5A" w14:textId="6081E6B9" w:rsidR="006871D8" w:rsidRPr="006871D8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захисту”</w:t>
            </w:r>
          </w:p>
          <w:p w14:paraId="32D7668D" w14:textId="77777777" w:rsidR="006871D8" w:rsidRPr="006871D8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</w:p>
          <w:p w14:paraId="6A08A959" w14:textId="0C85F44F" w:rsidR="00B858C3" w:rsidRPr="006A61CC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Закон України “Про адміністративні послуги”</w:t>
            </w:r>
          </w:p>
        </w:tc>
      </w:tr>
      <w:tr w:rsidR="00B858C3" w:rsidRPr="006871D8" w14:paraId="6677F2FB" w14:textId="77777777" w:rsidTr="009D0E81">
        <w:trPr>
          <w:trHeight w:val="649"/>
        </w:trPr>
        <w:tc>
          <w:tcPr>
            <w:tcW w:w="516" w:type="dxa"/>
          </w:tcPr>
          <w:p w14:paraId="18F1497B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7B9CA150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14:paraId="22361ECD" w14:textId="77777777" w:rsidR="006871D8" w:rsidRPr="006871D8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Постанови Кабінету Міністрів України:</w:t>
            </w:r>
          </w:p>
          <w:p w14:paraId="22DDB684" w14:textId="39AF897B" w:rsidR="006871D8" w:rsidRPr="006871D8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від 12.05.1994 № 302 “Про порядок виготовлення та видачі посвідчень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нагрудних знаків ветеранів”;</w:t>
            </w:r>
          </w:p>
          <w:p w14:paraId="6E4014FE" w14:textId="08BCAD86" w:rsidR="006871D8" w:rsidRPr="006871D8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від 20.08.2014 № 413 “Про затвердження Порядку надання та позбавлення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 xml:space="preserve">статусу учасника бойових дій </w:t>
            </w:r>
            <w:r w:rsidRPr="006871D8">
              <w:rPr>
                <w:rFonts w:ascii="Times New Roman" w:hAnsi="Times New Roman"/>
                <w:lang w:val="uk-UA"/>
              </w:rPr>
              <w:lastRenderedPageBreak/>
              <w:t>осіб, які захищали незалежність,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суверенітет та територіальну цілісність України і брали безпосередню</w:t>
            </w:r>
          </w:p>
          <w:p w14:paraId="4FE02F00" w14:textId="45645334" w:rsidR="003D434F" w:rsidRPr="006A61CC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участь в антитерористичній операції, забезпеченні її проведення чи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здійсненні заходів із забезпечення національної безпеки і оборони, відсічі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і стримування збройної агресії Російської Федерації в Донецькій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Луганській областях, забезпеченні їх здійснення, у заходах, необхідних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для забезпечення оборони України, захисту безпеки населення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інтересів держави у зв’язку з військовою агресією Російської Федерації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проти України”.</w:t>
            </w:r>
          </w:p>
        </w:tc>
      </w:tr>
      <w:tr w:rsidR="000E0A99" w:rsidRPr="004C1247" w14:paraId="566C277B" w14:textId="77777777" w:rsidTr="009D0E81">
        <w:trPr>
          <w:trHeight w:val="274"/>
        </w:trPr>
        <w:tc>
          <w:tcPr>
            <w:tcW w:w="516" w:type="dxa"/>
          </w:tcPr>
          <w:p w14:paraId="22B17B2D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343" w:type="dxa"/>
            <w:vAlign w:val="center"/>
          </w:tcPr>
          <w:p w14:paraId="0DCF27B8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14:paraId="5F33846D" w14:textId="1EEF3ED4" w:rsidR="000E0A99" w:rsidRPr="006A61CC" w:rsidRDefault="006871D8" w:rsidP="006871D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Наказ Міністерства у справах ветеранів України від 26.02.2021 № 43 “Про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затвердження Положення про міжвідомчу комісію з питань розгляду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матеріалів про визнання учасниками бойових дій та виплати одноразової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грошової допомоги в разі загибелі (смерті) або інвалідності волонтера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деяких інших категорій осіб відповідно до Закону України “Про статус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ветеранів війни, гарантії їх соціального захисту”, зареєстрований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Міністерстві юстиції України 16.04.2021 за № 521/36143</w:t>
            </w:r>
          </w:p>
        </w:tc>
      </w:tr>
      <w:tr w:rsidR="000E0A99" w:rsidRPr="004C1247" w14:paraId="3CCCBB10" w14:textId="77777777" w:rsidTr="009D0E81">
        <w:trPr>
          <w:trHeight w:val="274"/>
        </w:trPr>
        <w:tc>
          <w:tcPr>
            <w:tcW w:w="516" w:type="dxa"/>
          </w:tcPr>
          <w:p w14:paraId="0E338A61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14:paraId="6A5065E8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14:paraId="296257BD" w14:textId="77777777" w:rsidR="000E0A99" w:rsidRPr="006A61CC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6A61CC" w14:paraId="18BE0687" w14:textId="77777777" w:rsidTr="00FE2188">
        <w:trPr>
          <w:trHeight w:val="465"/>
        </w:trPr>
        <w:tc>
          <w:tcPr>
            <w:tcW w:w="9925" w:type="dxa"/>
            <w:gridSpan w:val="3"/>
          </w:tcPr>
          <w:p w14:paraId="153120A5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A61CC" w14:paraId="53F5EA1B" w14:textId="77777777" w:rsidTr="009D0E81">
        <w:trPr>
          <w:trHeight w:val="750"/>
        </w:trPr>
        <w:tc>
          <w:tcPr>
            <w:tcW w:w="516" w:type="dxa"/>
          </w:tcPr>
          <w:p w14:paraId="4D0D1F71" w14:textId="77777777" w:rsidR="00FE2188" w:rsidRPr="006A61CC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10</w:t>
            </w:r>
            <w:r w:rsidR="00FE2188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B7C06F3" w14:textId="77777777" w:rsidR="00FE2188" w:rsidRPr="006A61CC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14:paraId="30234409" w14:textId="1DAEB7B6" w:rsidR="00AF36B3" w:rsidRPr="006A61CC" w:rsidRDefault="006871D8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Звернення особи про позбавлення її статусу учасника бойових дій</w:t>
            </w:r>
          </w:p>
        </w:tc>
      </w:tr>
      <w:tr w:rsidR="00B858C3" w:rsidRPr="006A61CC" w14:paraId="36B3E752" w14:textId="77777777" w:rsidTr="006A61CC">
        <w:trPr>
          <w:trHeight w:val="613"/>
        </w:trPr>
        <w:tc>
          <w:tcPr>
            <w:tcW w:w="516" w:type="dxa"/>
          </w:tcPr>
          <w:p w14:paraId="1C22E9AC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11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26B397D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14:paraId="610B4C6F" w14:textId="77777777" w:rsidR="006871D8" w:rsidRPr="006871D8" w:rsidRDefault="006871D8" w:rsidP="006871D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До Мінветеранів подається:</w:t>
            </w:r>
          </w:p>
          <w:p w14:paraId="15EEC99C" w14:textId="48D70273" w:rsidR="006871D8" w:rsidRPr="006871D8" w:rsidRDefault="006871D8" w:rsidP="006871D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заява довільної форми про позбавлення статусу учасника бойових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дій;</w:t>
            </w:r>
          </w:p>
          <w:p w14:paraId="043E8B20" w14:textId="2E75741E" w:rsidR="006871D8" w:rsidRPr="006871D8" w:rsidRDefault="006871D8" w:rsidP="006871D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копія паспорта громадянина України/тимчасового посвідчення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громадянина України (для громадян України), паспортного документа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іноземця або документа, що посвідчує особу без громадянства, посвідки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на постійне проживання, посвідки на тимчасове проживання, посвідчення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біженця, посвідчення особи, яка потребує додаткового захисту,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іншого документа, що підтверджує законність перебування іноземця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особи без громадянства на території України, крім довідки про звернення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за захистом в Україні та довідки про звернення за визнанням особою без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громадянства (для іноземців та осіб без громадянства);</w:t>
            </w:r>
          </w:p>
          <w:p w14:paraId="6799EEE3" w14:textId="21EA62C5" w:rsidR="006871D8" w:rsidRPr="006871D8" w:rsidRDefault="006871D8" w:rsidP="006871D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копія документа, що засвідчує реєстрацію у Державному реєстрі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фізичних осіб – платників податків (крім осіб, які через свої релігійні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переконання відмовляються від прийняття реєстраційного номера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облікової картки платника податків та повідомили про це відповідному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контролюючому органу і мають відмітку у паспорті), або дані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реєстраційний номер облікової картки платника податків з Державного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 xml:space="preserve">реєстру фізичних </w:t>
            </w:r>
            <w:r w:rsidRPr="006871D8">
              <w:rPr>
                <w:rFonts w:ascii="Times New Roman" w:hAnsi="Times New Roman"/>
                <w:lang w:val="uk-UA"/>
              </w:rPr>
              <w:lastRenderedPageBreak/>
              <w:t>осіб – платників податків, внесені до паспорта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громадянина України;</w:t>
            </w:r>
          </w:p>
          <w:p w14:paraId="176E61A5" w14:textId="77777777" w:rsidR="006871D8" w:rsidRPr="006871D8" w:rsidRDefault="006871D8" w:rsidP="006871D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посвідчення учасника бойових дій;</w:t>
            </w:r>
          </w:p>
          <w:p w14:paraId="66892741" w14:textId="09E28027" w:rsidR="00B858C3" w:rsidRPr="006A61CC" w:rsidRDefault="006871D8" w:rsidP="006871D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лист талонів на право одержання проїзних документів (квитків),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наявності.</w:t>
            </w:r>
          </w:p>
        </w:tc>
      </w:tr>
      <w:tr w:rsidR="00B858C3" w:rsidRPr="006A61CC" w14:paraId="3674D332" w14:textId="77777777" w:rsidTr="009D0E81">
        <w:trPr>
          <w:trHeight w:val="557"/>
        </w:trPr>
        <w:tc>
          <w:tcPr>
            <w:tcW w:w="516" w:type="dxa"/>
          </w:tcPr>
          <w:p w14:paraId="2EBE0530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AD9D874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14:paraId="54F2466C" w14:textId="77777777" w:rsidR="00B858C3" w:rsidRDefault="006871D8" w:rsidP="006871D8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Заява разом із доданими до неї копіями документів подається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особисто з пред’явленням документа, що посвідчує особу заявника,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через законного представника чи уповноважену особу:</w:t>
            </w:r>
          </w:p>
          <w:p w14:paraId="6CF18C08" w14:textId="6DC24870" w:rsidR="006871D8" w:rsidRPr="006871D8" w:rsidRDefault="006871D8" w:rsidP="006871D8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1) до центру надання адміністративних послуг (далі – центр)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незалежно від задекларованого/зареєстрованого місця проживання.</w:t>
            </w:r>
          </w:p>
          <w:p w14:paraId="5A44D425" w14:textId="3327263D" w:rsidR="006871D8" w:rsidRPr="006871D8" w:rsidRDefault="006871D8" w:rsidP="006871D8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Центр передає до Мінветеранів заяву з необхідними документами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паперовій формі не пізніше ніж за три робочі дні після її прийняття;</w:t>
            </w:r>
          </w:p>
          <w:p w14:paraId="2251C810" w14:textId="1CE2B7B5" w:rsidR="006871D8" w:rsidRPr="006A61CC" w:rsidRDefault="006871D8" w:rsidP="006871D8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2) до Мінветеранів, у тому числі поштою, на адресу: вулиця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Хрещатик, буд. 34, м. Київ, 01001.</w:t>
            </w:r>
          </w:p>
        </w:tc>
      </w:tr>
      <w:tr w:rsidR="00B858C3" w:rsidRPr="006A61CC" w14:paraId="7DD3F34C" w14:textId="77777777" w:rsidTr="009D0E81">
        <w:trPr>
          <w:trHeight w:val="486"/>
        </w:trPr>
        <w:tc>
          <w:tcPr>
            <w:tcW w:w="516" w:type="dxa"/>
          </w:tcPr>
          <w:p w14:paraId="3AD706A5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13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6626CDD8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14:paraId="43098277" w14:textId="77777777" w:rsidR="006871D8" w:rsidRPr="006871D8" w:rsidRDefault="006871D8" w:rsidP="006871D8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Безоплатно</w:t>
            </w:r>
          </w:p>
          <w:p w14:paraId="79B3B281" w14:textId="2AC3E2AB" w:rsidR="00B858C3" w:rsidRPr="006A61CC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A61CC" w:rsidRPr="006A61CC" w14:paraId="0CE257F2" w14:textId="77777777" w:rsidTr="009D0E81">
        <w:trPr>
          <w:trHeight w:val="334"/>
        </w:trPr>
        <w:tc>
          <w:tcPr>
            <w:tcW w:w="516" w:type="dxa"/>
          </w:tcPr>
          <w:p w14:paraId="4729B54D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343" w:type="dxa"/>
          </w:tcPr>
          <w:p w14:paraId="261D2D35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14:paraId="485C02C0" w14:textId="6D94A1B9" w:rsidR="006A61CC" w:rsidRPr="006A61CC" w:rsidRDefault="006871D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30 календарних днів*</w:t>
            </w:r>
          </w:p>
        </w:tc>
      </w:tr>
      <w:tr w:rsidR="006A61CC" w:rsidRPr="006A61CC" w14:paraId="4BB8B1DB" w14:textId="77777777" w:rsidTr="009D0E81">
        <w:trPr>
          <w:trHeight w:val="699"/>
        </w:trPr>
        <w:tc>
          <w:tcPr>
            <w:tcW w:w="516" w:type="dxa"/>
          </w:tcPr>
          <w:p w14:paraId="62548A5F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343" w:type="dxa"/>
          </w:tcPr>
          <w:p w14:paraId="604D45D6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14:paraId="0F7D0F17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- </w:t>
            </w:r>
          </w:p>
        </w:tc>
      </w:tr>
      <w:tr w:rsidR="006A61CC" w:rsidRPr="006A61CC" w14:paraId="5A7FC4D6" w14:textId="77777777" w:rsidTr="009D0E81">
        <w:trPr>
          <w:trHeight w:val="655"/>
        </w:trPr>
        <w:tc>
          <w:tcPr>
            <w:tcW w:w="516" w:type="dxa"/>
          </w:tcPr>
          <w:p w14:paraId="078C09DC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343" w:type="dxa"/>
          </w:tcPr>
          <w:p w14:paraId="2262F499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14:paraId="494E437C" w14:textId="21E19165" w:rsidR="006A61CC" w:rsidRPr="006A61CC" w:rsidRDefault="006871D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Рішення про позбавлення статусу учасника бойових дій</w:t>
            </w:r>
          </w:p>
        </w:tc>
      </w:tr>
      <w:tr w:rsidR="00B858C3" w:rsidRPr="006A61CC" w14:paraId="16F19D83" w14:textId="77777777" w:rsidTr="009D0E81">
        <w:trPr>
          <w:trHeight w:val="645"/>
        </w:trPr>
        <w:tc>
          <w:tcPr>
            <w:tcW w:w="516" w:type="dxa"/>
          </w:tcPr>
          <w:p w14:paraId="72AF28F2" w14:textId="77777777" w:rsidR="00B858C3" w:rsidRPr="006A61CC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</w:t>
            </w:r>
            <w:r w:rsidR="004874F7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4C2B8A3" w14:textId="77777777" w:rsidR="00B858C3" w:rsidRPr="006A61CC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14:paraId="045A4ABB" w14:textId="0943817C" w:rsidR="00B858C3" w:rsidRPr="006A61CC" w:rsidRDefault="006871D8" w:rsidP="006871D8">
            <w:pPr>
              <w:jc w:val="both"/>
              <w:rPr>
                <w:rFonts w:ascii="Times New Roman" w:hAnsi="Times New Roman"/>
                <w:lang w:val="uk-UA"/>
              </w:rPr>
            </w:pPr>
            <w:r w:rsidRPr="006871D8">
              <w:rPr>
                <w:rFonts w:ascii="Times New Roman" w:hAnsi="Times New Roman"/>
                <w:lang w:val="uk-UA"/>
              </w:rPr>
              <w:t>Рішення про позбавлення статусу учасника бойових дій видається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особі у центрі або у Міністерстві у справах ветеранів України або у спосіб,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871D8">
              <w:rPr>
                <w:rFonts w:ascii="Times New Roman" w:hAnsi="Times New Roman"/>
                <w:lang w:val="uk-UA"/>
              </w:rPr>
              <w:t>зазначений у заяві</w:t>
            </w:r>
          </w:p>
        </w:tc>
      </w:tr>
    </w:tbl>
    <w:p w14:paraId="4E345932" w14:textId="73DA1C87" w:rsidR="003B1A90" w:rsidRPr="006871D8" w:rsidRDefault="006871D8" w:rsidP="00B858C3">
      <w:pPr>
        <w:jc w:val="both"/>
        <w:rPr>
          <w:rFonts w:ascii="Times New Roman" w:hAnsi="Times New Roman"/>
          <w:lang w:val="uk-UA"/>
        </w:rPr>
      </w:pPr>
      <w:r w:rsidRPr="006871D8">
        <w:rPr>
          <w:rFonts w:ascii="Times New Roman" w:hAnsi="Times New Roman"/>
        </w:rPr>
        <w:t>* Відповідно до частини четвертої статті 10 Закону України “Про адміністративні послуги” у разі надання адміністративної послуги</w:t>
      </w:r>
      <w:r>
        <w:rPr>
          <w:rFonts w:ascii="Times New Roman" w:hAnsi="Times New Roman"/>
          <w:lang w:val="uk-UA"/>
        </w:rPr>
        <w:t xml:space="preserve"> </w:t>
      </w:r>
      <w:r w:rsidRPr="006871D8">
        <w:rPr>
          <w:rFonts w:ascii="Times New Roman" w:hAnsi="Times New Roman"/>
        </w:rPr>
        <w:t>суб’єктом надання адміністративних послуг, який діє на засадах колегіальності, рішення про надання адміністративної послуги або</w:t>
      </w:r>
      <w:r>
        <w:rPr>
          <w:rFonts w:ascii="Times New Roman" w:hAnsi="Times New Roman"/>
          <w:lang w:val="uk-UA"/>
        </w:rPr>
        <w:t xml:space="preserve"> </w:t>
      </w:r>
      <w:r w:rsidRPr="006871D8">
        <w:rPr>
          <w:rFonts w:ascii="Times New Roman" w:hAnsi="Times New Roman"/>
        </w:rPr>
        <w:t>про відмову в її наданні приймається у строк, визначений частиною першою або другою цієї статті, а в разі неможливості прийняття</w:t>
      </w:r>
      <w:r>
        <w:rPr>
          <w:rFonts w:ascii="Times New Roman" w:hAnsi="Times New Roman"/>
          <w:lang w:val="uk-UA"/>
        </w:rPr>
        <w:t xml:space="preserve"> </w:t>
      </w:r>
      <w:r w:rsidRPr="006871D8">
        <w:rPr>
          <w:rFonts w:ascii="Times New Roman" w:hAnsi="Times New Roman"/>
        </w:rPr>
        <w:t>зазначеного рішення у такий строк - на першому засіданні (слуханні) після закінчення цього строку</w:t>
      </w:r>
      <w:r>
        <w:rPr>
          <w:rFonts w:ascii="Times New Roman" w:hAnsi="Times New Roman"/>
          <w:lang w:val="uk-UA"/>
        </w:rPr>
        <w:t>.</w:t>
      </w:r>
    </w:p>
    <w:sectPr w:rsidR="003B1A90" w:rsidRPr="006871D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5311" w14:textId="77777777" w:rsidR="00C12E82" w:rsidRDefault="00C12E82" w:rsidP="002C0E76">
      <w:r>
        <w:separator/>
      </w:r>
    </w:p>
  </w:endnote>
  <w:endnote w:type="continuationSeparator" w:id="0">
    <w:p w14:paraId="18894AED" w14:textId="77777777" w:rsidR="00C12E82" w:rsidRDefault="00C12E82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E2A9" w14:textId="77777777" w:rsidR="00C12E82" w:rsidRDefault="00C12E82" w:rsidP="002C0E76">
      <w:r>
        <w:separator/>
      </w:r>
    </w:p>
  </w:footnote>
  <w:footnote w:type="continuationSeparator" w:id="0">
    <w:p w14:paraId="634F2BBA" w14:textId="77777777" w:rsidR="00C12E82" w:rsidRDefault="00C12E82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55570">
    <w:abstractNumId w:val="10"/>
  </w:num>
  <w:num w:numId="2" w16cid:durableId="2145584899">
    <w:abstractNumId w:val="4"/>
  </w:num>
  <w:num w:numId="3" w16cid:durableId="953944768">
    <w:abstractNumId w:val="7"/>
  </w:num>
  <w:num w:numId="4" w16cid:durableId="1343892959">
    <w:abstractNumId w:val="6"/>
  </w:num>
  <w:num w:numId="5" w16cid:durableId="978456441">
    <w:abstractNumId w:val="1"/>
  </w:num>
  <w:num w:numId="6" w16cid:durableId="1471243372">
    <w:abstractNumId w:val="9"/>
  </w:num>
  <w:num w:numId="7" w16cid:durableId="1948536613">
    <w:abstractNumId w:val="8"/>
  </w:num>
  <w:num w:numId="8" w16cid:durableId="599411398">
    <w:abstractNumId w:val="3"/>
  </w:num>
  <w:num w:numId="9" w16cid:durableId="1262226942">
    <w:abstractNumId w:val="2"/>
  </w:num>
  <w:num w:numId="10" w16cid:durableId="824051644">
    <w:abstractNumId w:val="5"/>
  </w:num>
  <w:num w:numId="11" w16cid:durableId="11444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37446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33C76"/>
    <w:rsid w:val="001E33ED"/>
    <w:rsid w:val="00222188"/>
    <w:rsid w:val="002522C9"/>
    <w:rsid w:val="002601B2"/>
    <w:rsid w:val="00265981"/>
    <w:rsid w:val="00281CA2"/>
    <w:rsid w:val="002C0E76"/>
    <w:rsid w:val="002D3CAA"/>
    <w:rsid w:val="003513DD"/>
    <w:rsid w:val="003A7B55"/>
    <w:rsid w:val="003B1A90"/>
    <w:rsid w:val="003B5999"/>
    <w:rsid w:val="003D434F"/>
    <w:rsid w:val="003E7B7F"/>
    <w:rsid w:val="003F31C5"/>
    <w:rsid w:val="00403DEC"/>
    <w:rsid w:val="00464CE0"/>
    <w:rsid w:val="00472B58"/>
    <w:rsid w:val="00473EA2"/>
    <w:rsid w:val="004874F7"/>
    <w:rsid w:val="004C1247"/>
    <w:rsid w:val="005151DD"/>
    <w:rsid w:val="00551951"/>
    <w:rsid w:val="00574ABA"/>
    <w:rsid w:val="00584326"/>
    <w:rsid w:val="005A02B8"/>
    <w:rsid w:val="0061117E"/>
    <w:rsid w:val="00684072"/>
    <w:rsid w:val="006871D8"/>
    <w:rsid w:val="0069562D"/>
    <w:rsid w:val="006A448D"/>
    <w:rsid w:val="006A61CC"/>
    <w:rsid w:val="006B240C"/>
    <w:rsid w:val="006C7BCF"/>
    <w:rsid w:val="00706F01"/>
    <w:rsid w:val="007144A5"/>
    <w:rsid w:val="00727B3A"/>
    <w:rsid w:val="00773304"/>
    <w:rsid w:val="00785372"/>
    <w:rsid w:val="007915C2"/>
    <w:rsid w:val="007A2365"/>
    <w:rsid w:val="007B2C40"/>
    <w:rsid w:val="007C35C8"/>
    <w:rsid w:val="007C6B54"/>
    <w:rsid w:val="008009AA"/>
    <w:rsid w:val="00841FC1"/>
    <w:rsid w:val="0088106E"/>
    <w:rsid w:val="00891574"/>
    <w:rsid w:val="008A1BD7"/>
    <w:rsid w:val="008B1842"/>
    <w:rsid w:val="008D2090"/>
    <w:rsid w:val="008F7A08"/>
    <w:rsid w:val="00904FB1"/>
    <w:rsid w:val="00931C23"/>
    <w:rsid w:val="00970996"/>
    <w:rsid w:val="009B1A3B"/>
    <w:rsid w:val="009D0E81"/>
    <w:rsid w:val="00A26003"/>
    <w:rsid w:val="00A71197"/>
    <w:rsid w:val="00A829D8"/>
    <w:rsid w:val="00AF36B3"/>
    <w:rsid w:val="00B17E10"/>
    <w:rsid w:val="00B355A4"/>
    <w:rsid w:val="00B40E25"/>
    <w:rsid w:val="00B82118"/>
    <w:rsid w:val="00B858C3"/>
    <w:rsid w:val="00B8675A"/>
    <w:rsid w:val="00BB65F0"/>
    <w:rsid w:val="00BD3490"/>
    <w:rsid w:val="00BF2226"/>
    <w:rsid w:val="00C12E82"/>
    <w:rsid w:val="00C4250F"/>
    <w:rsid w:val="00C83615"/>
    <w:rsid w:val="00D01B82"/>
    <w:rsid w:val="00D05E30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670FB"/>
    <w:rsid w:val="00E946E6"/>
    <w:rsid w:val="00EF38D8"/>
    <w:rsid w:val="00F21A9F"/>
    <w:rsid w:val="00F230F2"/>
    <w:rsid w:val="00F64B8E"/>
    <w:rsid w:val="00F670EB"/>
    <w:rsid w:val="00F95967"/>
    <w:rsid w:val="00FC6DEB"/>
    <w:rsid w:val="00FD4E1F"/>
    <w:rsid w:val="00FD5DE4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2A53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basedOn w:val="a0"/>
    <w:rsid w:val="006871D8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4180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2023-06-30T11:44:00Z</dcterms:created>
  <dcterms:modified xsi:type="dcterms:W3CDTF">2025-06-25T13:16:00Z</dcterms:modified>
</cp:coreProperties>
</file>