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913C7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24649201" w14:textId="51403596" w:rsidR="00545EB9" w:rsidRPr="00913C78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C703E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Головного управління Пенсійного фонду України в </w:t>
      </w:r>
      <w:r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Полтавськ</w:t>
      </w:r>
      <w:r w:rsidR="00C703E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14:paraId="367D3D6C" w14:textId="34C02F11" w:rsidR="00674110" w:rsidRPr="00913C78" w:rsidRDefault="00C703E3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72E3F"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.0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</w:t>
      </w:r>
      <w:r w:rsidR="00B72E3F" w:rsidRPr="00913C7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.2025 № </w:t>
      </w:r>
      <w:r w:rsidR="0075043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822</w:t>
      </w:r>
    </w:p>
    <w:p w14:paraId="277ECC69" w14:textId="77777777" w:rsidR="00B72E3F" w:rsidRPr="00913C78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913C7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3C7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913C7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226CFA51" w:rsidR="002D3CAA" w:rsidRPr="00913C78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13C7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D377E">
        <w:rPr>
          <w:rFonts w:ascii="Times New Roman" w:hAnsi="Times New Roman"/>
          <w:b/>
          <w:sz w:val="28"/>
          <w:szCs w:val="28"/>
          <w:u w:val="single"/>
          <w:lang w:val="uk-UA"/>
        </w:rPr>
        <w:t>0135</w:t>
      </w:r>
    </w:p>
    <w:p w14:paraId="627C70FE" w14:textId="77777777" w:rsidR="00B72E3F" w:rsidRPr="00913C78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3F1E6109" w14:textId="7C63E22D" w:rsidR="004933DE" w:rsidRDefault="00DD377E" w:rsidP="004933DE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DD377E">
        <w:rPr>
          <w:rFonts w:ascii="Times New Roman" w:hAnsi="Times New Roman"/>
          <w:b/>
          <w:sz w:val="32"/>
          <w:szCs w:val="32"/>
          <w:u w:val="single"/>
          <w:lang w:val="uk-UA"/>
        </w:rPr>
        <w:t>Призначення одноразової винагороди жінкам, яким присвоєно почесне звання України “Мати-героїня”</w:t>
      </w:r>
    </w:p>
    <w:p w14:paraId="6494D8BB" w14:textId="77777777" w:rsidR="00DD377E" w:rsidRPr="00913C78" w:rsidRDefault="00DD377E" w:rsidP="004933DE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913C78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913C7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913C78">
              <w:rPr>
                <w:rFonts w:ascii="Times New Roman" w:hAnsi="Times New Roman"/>
                <w:b/>
                <w:lang w:val="uk-UA"/>
              </w:rPr>
              <w:t>Ц</w:t>
            </w:r>
            <w:r w:rsidRPr="00913C7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913C78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913C78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913C7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913C7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913C7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913C78">
              <w:rPr>
                <w:rFonts w:ascii="Times New Roman" w:hAnsi="Times New Roman"/>
                <w:lang w:val="uk-UA"/>
              </w:rPr>
              <w:br/>
            </w:r>
            <w:r w:rsidRPr="00913C78">
              <w:rPr>
                <w:rFonts w:ascii="Times New Roman" w:hAnsi="Times New Roman"/>
                <w:lang w:val="uk-UA"/>
              </w:rPr>
              <w:t>с.</w:t>
            </w:r>
            <w:r w:rsidR="00EA4475" w:rsidRPr="00913C7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13C78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913C78">
              <w:rPr>
                <w:rFonts w:ascii="Times New Roman" w:hAnsi="Times New Roman"/>
                <w:lang w:val="uk-UA"/>
              </w:rPr>
              <w:t>, вул.</w:t>
            </w:r>
            <w:r w:rsidR="008D2090" w:rsidRPr="00913C78">
              <w:rPr>
                <w:rFonts w:ascii="Times New Roman" w:hAnsi="Times New Roman"/>
                <w:lang w:val="uk-UA"/>
              </w:rPr>
              <w:t xml:space="preserve"> </w:t>
            </w:r>
            <w:r w:rsidRPr="00913C7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913C78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913C7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913C7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913C7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913C7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DD377E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913C7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110551F7" w14:textId="77777777" w:rsidR="00C703E3" w:rsidRPr="00511F94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lang w:val="uk-UA"/>
              </w:rPr>
              <w:t>тел.+380669003212</w:t>
            </w:r>
          </w:p>
          <w:p w14:paraId="14262D93" w14:textId="77777777" w:rsidR="00C703E3" w:rsidRPr="00511F94" w:rsidRDefault="00C703E3" w:rsidP="00C703E3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8" w:history="1">
              <w:r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cnap@martynivka-gromada.gov.ua</w:t>
              </w:r>
            </w:hyperlink>
            <w:r w:rsidRPr="000E1BBF"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  <w:t xml:space="preserve">       </w:t>
            </w:r>
            <w:hyperlink r:id="rId9" w:history="1">
              <w:r w:rsidRPr="00EF669C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17AF26C3" w14:textId="77777777" w:rsidR="00C703E3" w:rsidRPr="00511F94" w:rsidRDefault="00C703E3" w:rsidP="00C703E3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10" w:history="1">
              <w:r w:rsidRPr="000E1BBF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https://martynivka-gromada.gov.ua/</w:t>
              </w:r>
            </w:hyperlink>
          </w:p>
          <w:p w14:paraId="67A71347" w14:textId="356ECFD2" w:rsidR="00417AEE" w:rsidRPr="00913C78" w:rsidRDefault="00C703E3" w:rsidP="00C703E3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511F94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C703E3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913C7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59CA6EF0" w:rsidR="00B2124D" w:rsidRPr="00913C78" w:rsidRDefault="00C703E3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C703E3">
              <w:rPr>
                <w:rFonts w:ascii="Times New Roman" w:hAnsi="Times New Roman"/>
                <w:b/>
                <w:lang w:val="uk-UA"/>
              </w:rPr>
              <w:t>Головне управління Пенсійного фонду України в Полтавській області</w:t>
            </w:r>
          </w:p>
        </w:tc>
      </w:tr>
      <w:tr w:rsidR="009D0E81" w:rsidRPr="00913C78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D65513E" w:rsidR="002D2171" w:rsidRPr="00913C78" w:rsidRDefault="00C703E3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вул. Гоголя, 34, м. Полтава. 36000</w:t>
            </w:r>
          </w:p>
        </w:tc>
      </w:tr>
      <w:tr w:rsidR="009D0E81" w:rsidRPr="00913C78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913C78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3B95756E" w14:textId="77777777" w:rsidR="00C703E3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Телефон: (0532) 56-02-09, 60-81-93 </w:t>
            </w:r>
          </w:p>
          <w:p w14:paraId="6FC6CB8F" w14:textId="77777777" w:rsidR="00C703E3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E-</w:t>
            </w:r>
            <w:proofErr w:type="spellStart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mail</w:t>
            </w:r>
            <w:proofErr w:type="spellEnd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: gu@pl.pfu.gov.ua </w:t>
            </w:r>
          </w:p>
          <w:p w14:paraId="14823714" w14:textId="387C1B8B" w:rsidR="009D0E81" w:rsidRPr="00C703E3" w:rsidRDefault="00C703E3" w:rsidP="00C703E3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 xml:space="preserve">Офіційний </w:t>
            </w:r>
            <w:proofErr w:type="spellStart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вебсайт</w:t>
            </w:r>
            <w:proofErr w:type="spellEnd"/>
            <w:r w:rsidRPr="00C703E3">
              <w:rPr>
                <w:rFonts w:ascii="Times New Roman" w:hAnsi="Times New Roman"/>
                <w:color w:val="000000" w:themeColor="text1"/>
                <w:lang w:val="uk-UA"/>
              </w:rPr>
              <w:t>: https://portal.pfu.gov.ua</w:t>
            </w:r>
          </w:p>
        </w:tc>
      </w:tr>
      <w:tr w:rsidR="00BD3490" w:rsidRPr="00913C78" w14:paraId="1C97A36F" w14:textId="77777777" w:rsidTr="00FE2188">
        <w:trPr>
          <w:trHeight w:val="420"/>
        </w:trPr>
        <w:tc>
          <w:tcPr>
            <w:tcW w:w="9925" w:type="dxa"/>
            <w:gridSpan w:val="3"/>
          </w:tcPr>
          <w:p w14:paraId="0B1E1851" w14:textId="77777777" w:rsidR="00BD3490" w:rsidRPr="00913C7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        </w:t>
            </w:r>
            <w:r w:rsidRPr="00913C7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13C78" w:rsidRPr="004933DE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79A5877A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AFA092" w14:textId="77777777" w:rsidR="00D35D55" w:rsidRPr="00D35D55" w:rsidRDefault="00D35D55" w:rsidP="00D35D55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Закон України “Про державні нагороди України”;</w:t>
            </w:r>
          </w:p>
          <w:p w14:paraId="70DA55AB" w14:textId="60AFACB8" w:rsidR="00913C78" w:rsidRPr="00913C78" w:rsidRDefault="00D35D55" w:rsidP="00D35D55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Закон України “Про адміністративну процедуру”</w:t>
            </w:r>
          </w:p>
        </w:tc>
      </w:tr>
      <w:tr w:rsidR="00913C78" w:rsidRPr="009C2FBB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0E50F" w14:textId="1AFB086F" w:rsidR="00D35D55" w:rsidRPr="00D35D55" w:rsidRDefault="00D35D55" w:rsidP="00D35D55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Порядок виплати одноразової винагороди жінкам, яким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присвоєно почесне звання України “Мати-героїня”,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затверджений постановою Кабінету Міністрів України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br/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від 28 лютого 2011 року № 268:</w:t>
            </w:r>
          </w:p>
          <w:p w14:paraId="6F09FF13" w14:textId="51EA7637" w:rsidR="00C703E3" w:rsidRPr="00913C78" w:rsidRDefault="00D35D55" w:rsidP="00D35D55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 25 червня 2025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року № 765 “Деякі питання призначення та виплати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державних соціальних допомог, соціальних стипендій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 xml:space="preserve">органами Пенсійного фонду України” (далі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–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 xml:space="preserve"> постанова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№ 765)</w:t>
            </w:r>
          </w:p>
        </w:tc>
      </w:tr>
      <w:tr w:rsidR="00913C78" w:rsidRPr="00DD377E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913C78" w:rsidRPr="00913C78" w:rsidRDefault="00913C7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5B06A690" w:rsidR="00913C78" w:rsidRPr="00913C78" w:rsidRDefault="00D35D55" w:rsidP="00D35D55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Постанова правління Пенсійного фонду України від 30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липня 2015 року № 13-1 “Про організацію прийому та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обслуговування осіб, які звертаються до органів Пенсійного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фонду України”, зареєстрована в Міністерстві юстиції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color w:val="000000" w:themeColor="text1"/>
                <w:lang w:val="uk-UA"/>
              </w:rPr>
              <w:t>України 18 серпня 2015 року за № 991/2 743 6.</w:t>
            </w:r>
          </w:p>
        </w:tc>
      </w:tr>
      <w:tr w:rsidR="000E0A99" w:rsidRPr="00913C78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913C7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913C7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913C78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913C78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913C78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13C78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152EB8" w:rsidRPr="00DD377E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00543F5D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Особи, які мають право на отримання послуги</w:t>
            </w:r>
          </w:p>
        </w:tc>
        <w:tc>
          <w:tcPr>
            <w:tcW w:w="6491" w:type="dxa"/>
          </w:tcPr>
          <w:p w14:paraId="26F6471C" w14:textId="15193D65" w:rsidR="00152EB8" w:rsidRPr="00913C78" w:rsidRDefault="00D35D55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Жінка, якій присвоєно почесне звання України "</w:t>
            </w:r>
            <w:proofErr w:type="spellStart"/>
            <w:r w:rsidRPr="00D35D55">
              <w:rPr>
                <w:rFonts w:ascii="Times New Roman" w:hAnsi="Times New Roman"/>
                <w:lang w:val="uk-UA"/>
              </w:rPr>
              <w:t>Матигероїня</w:t>
            </w:r>
            <w:proofErr w:type="spellEnd"/>
            <w:r w:rsidRPr="00D35D55">
              <w:rPr>
                <w:rFonts w:ascii="Times New Roman" w:hAnsi="Times New Roman"/>
                <w:lang w:val="uk-UA"/>
              </w:rPr>
              <w:t>”; уповноважена нею особа</w:t>
            </w:r>
          </w:p>
        </w:tc>
      </w:tr>
      <w:tr w:rsidR="00152EB8" w:rsidRPr="00DD377E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152EB8" w:rsidRPr="00913C78" w:rsidRDefault="00152EB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5AE645FA" w:rsidR="00152EB8" w:rsidRPr="00913C78" w:rsidRDefault="00152EB8" w:rsidP="0052345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B938E42" w14:textId="0110D3E5" w:rsidR="00152EB8" w:rsidRPr="00913C78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Звернення до суб’єкта надання адміністративної послуги 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виконавчого органу сільської, селищної, міської, районної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місті (у разі утворення) ради / центрів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адміністративних послуг.</w:t>
            </w:r>
          </w:p>
        </w:tc>
      </w:tr>
      <w:tr w:rsidR="00152EB8" w:rsidRPr="00DD377E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152EB8" w:rsidRPr="00913C78" w:rsidRDefault="00152EB8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918" w:type="dxa"/>
          </w:tcPr>
          <w:p w14:paraId="63966462" w14:textId="5204374B" w:rsidR="00152EB8" w:rsidRPr="00913C78" w:rsidRDefault="00152EB8" w:rsidP="009D0E81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5F53611A" w14:textId="797CF97B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Заявниця, особа якої посвідчується паспортом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громадянина України або іншим документом, що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посвідчує особу (паспортний документ іноземця 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посвідка на постійне проживання / посвідчення біженця 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посвідчення особи, яка потребує додаткового захисту),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пред’являє документ, що засвідчує реєстрацію особи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Державному реєстрі фізичних осіб - платників податків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(картка платника податків), або дані про реєстраційний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номер облікової картки платника податків із зазначеного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Державного реєстру, внесені до паспорта громадянина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України або свідоцтва про народження (крім осіб, які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через свої релігійні переконання відмовляються від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прийняття реєстраційного номера облікової картки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платника податків та повідомили про це відповідному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контролюючому органу і мають відмітку в паспорті);</w:t>
            </w:r>
          </w:p>
          <w:p w14:paraId="1CC108BA" w14:textId="77777777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заява за формою, затвердженою постановою № 765;</w:t>
            </w:r>
          </w:p>
          <w:p w14:paraId="0CBC310B" w14:textId="0F0D3FC4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Указ Президента України про присвоєння почесного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звання “Мати-героїня”;</w:t>
            </w:r>
          </w:p>
          <w:p w14:paraId="527BB136" w14:textId="44DEA7CC" w:rsidR="00152EB8" w:rsidRPr="00913C78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нотаріально засвідчений документ, що підтверджує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право уповноваженої особи представляти жінку, якій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присвоєно почесне звання.</w:t>
            </w:r>
          </w:p>
        </w:tc>
      </w:tr>
      <w:tr w:rsidR="00152EB8" w:rsidRPr="00DD377E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152EB8" w:rsidRPr="00913C78" w:rsidRDefault="00152EB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18" w:type="dxa"/>
          </w:tcPr>
          <w:p w14:paraId="4B76972E" w14:textId="3A4549EF" w:rsidR="00152EB8" w:rsidRPr="00913C78" w:rsidRDefault="00152EB8" w:rsidP="009765C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6824E1FF" w14:textId="27D6C22D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У паперовій формі при особистому зверненні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сервісних центрів головних управлінь Пенсійного фонду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України в областях там. Києві, виконавчого органу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сільської, селищної, міської, районної в місті (у разі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утворення) ради, центрів падання адміністративних послуг;</w:t>
            </w:r>
          </w:p>
          <w:p w14:paraId="706B03FD" w14:textId="6B475C5E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засобами поштового зв’язку до головних управлінь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Пенсійного фонду України в областях та м. Києві;</w:t>
            </w:r>
          </w:p>
          <w:p w14:paraId="1F9295BB" w14:textId="1F496ECC" w:rsidR="00152EB8" w:rsidRPr="00913C78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в електронній формі (за технічної можливості) через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D35D55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D35D55">
              <w:rPr>
                <w:rFonts w:ascii="Times New Roman" w:hAnsi="Times New Roman"/>
                <w:lang w:val="uk-UA"/>
              </w:rPr>
              <w:t xml:space="preserve"> електронних послуг, мобільний додаток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Пенсійного фонду України або Єдиний державний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D35D55">
              <w:rPr>
                <w:rFonts w:ascii="Times New Roman" w:hAnsi="Times New Roman"/>
                <w:lang w:val="uk-UA"/>
              </w:rPr>
              <w:t>вебпортал</w:t>
            </w:r>
            <w:proofErr w:type="spellEnd"/>
            <w:r w:rsidRPr="00D35D55">
              <w:rPr>
                <w:rFonts w:ascii="Times New Roman" w:hAnsi="Times New Roman"/>
                <w:lang w:val="uk-UA"/>
              </w:rPr>
              <w:t xml:space="preserve"> електронних послуг (Портал Дія) з накладенням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кваліфікованого електронного підпису або удосконаленого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електронного підпису, що базується на кваліфікованому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сертифікаті електронного підпису.</w:t>
            </w:r>
          </w:p>
        </w:tc>
      </w:tr>
      <w:tr w:rsidR="00152EB8" w:rsidRPr="00913C78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03004AA1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40E07DFE" w14:textId="15D49EA8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913C78">
              <w:rPr>
                <w:rFonts w:ascii="Times New Roman" w:hAnsi="Times New Roman"/>
                <w:lang w:val="uk-UA"/>
              </w:rPr>
              <w:t>адається безоплатно</w:t>
            </w:r>
          </w:p>
        </w:tc>
      </w:tr>
      <w:tr w:rsidR="00152EB8" w:rsidRPr="00913C78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4F6D45EA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13E16BA8" w14:textId="59A22B56" w:rsidR="00152EB8" w:rsidRPr="00913C78" w:rsidRDefault="00D35D55" w:rsidP="00D35D55">
            <w:pPr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Заява розглядається не пізніше ніж протягом 10 днів після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її надходження з усіма необхідними документами та/або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відомостями.</w:t>
            </w:r>
          </w:p>
        </w:tc>
      </w:tr>
      <w:tr w:rsidR="00152EB8" w:rsidRPr="00DD377E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152EB8" w:rsidRPr="00913C78" w:rsidRDefault="00152EB8" w:rsidP="00913C78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lastRenderedPageBreak/>
              <w:t>16.</w:t>
            </w:r>
          </w:p>
        </w:tc>
        <w:tc>
          <w:tcPr>
            <w:tcW w:w="2918" w:type="dxa"/>
          </w:tcPr>
          <w:p w14:paraId="40E0A1A5" w14:textId="6614CCDD" w:rsidR="00152EB8" w:rsidRPr="00913C78" w:rsidRDefault="00152EB8" w:rsidP="00913C78">
            <w:pPr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239BD012" w14:textId="002A09D5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Не встановлено особу жінки, якій присвоєно почесне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звання.</w:t>
            </w:r>
          </w:p>
          <w:p w14:paraId="6FE4B116" w14:textId="020CC047" w:rsidR="00AD2B73" w:rsidRPr="00913C78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У разі коли необхідні документи та/або відомості 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 xml:space="preserve">подані протягом </w:t>
            </w:r>
            <w:r>
              <w:rPr>
                <w:rFonts w:ascii="Times New Roman" w:hAnsi="Times New Roman"/>
                <w:lang w:val="uk-UA"/>
              </w:rPr>
              <w:t>30</w:t>
            </w:r>
            <w:r w:rsidRPr="00D35D55">
              <w:rPr>
                <w:rFonts w:ascii="Times New Roman" w:hAnsi="Times New Roman"/>
                <w:lang w:val="uk-UA"/>
              </w:rPr>
              <w:t xml:space="preserve"> календарних днів з дня одержання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повідомлення органу Пенсійного фонду України</w:t>
            </w:r>
          </w:p>
        </w:tc>
      </w:tr>
      <w:tr w:rsidR="00152EB8" w:rsidRPr="00AD2B73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152EB8" w:rsidRPr="00913C78" w:rsidRDefault="00152EB8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3DAE22C0" w:rsidR="00152EB8" w:rsidRPr="00913C78" w:rsidRDefault="00152EB8" w:rsidP="003F13C1">
            <w:pPr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7502BC46" w14:textId="0C96F4AE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Орган Пенсійного фонду України приймає рішення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виплату винагороди / відмову у виплаті винагороди.</w:t>
            </w:r>
          </w:p>
          <w:p w14:paraId="529A1AA9" w14:textId="09F3B969" w:rsidR="00152EB8" w:rsidRPr="00913C78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У разі коли до заяви не додані всі необхідні документи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та/або відомості, орган Пенсійного фонду України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повідомляє заявника, які документи та/або відомості мають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бути подані додатково. Якщо вони будуть подані не пізніше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 xml:space="preserve">ніж протягом </w:t>
            </w:r>
            <w:r>
              <w:rPr>
                <w:rFonts w:ascii="Times New Roman" w:hAnsi="Times New Roman"/>
                <w:lang w:val="uk-UA"/>
              </w:rPr>
              <w:t>30</w:t>
            </w:r>
            <w:r w:rsidRPr="00D35D55">
              <w:rPr>
                <w:rFonts w:ascii="Times New Roman" w:hAnsi="Times New Roman"/>
                <w:lang w:val="uk-UA"/>
              </w:rPr>
              <w:t xml:space="preserve"> календарних днів з дня одержання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зазначеного повідомлення, днем (місяцем) звернення за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призначенням допомоги вважається день (місяць) прийняття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або відправлення заяви.</w:t>
            </w:r>
          </w:p>
        </w:tc>
      </w:tr>
      <w:tr w:rsidR="00152EB8" w:rsidRPr="00DD377E" w14:paraId="0F3480C6" w14:textId="77777777" w:rsidTr="00EA4475">
        <w:trPr>
          <w:trHeight w:val="645"/>
        </w:trPr>
        <w:tc>
          <w:tcPr>
            <w:tcW w:w="516" w:type="dxa"/>
          </w:tcPr>
          <w:p w14:paraId="6253B62A" w14:textId="77777777" w:rsidR="00152EB8" w:rsidRPr="00913C78" w:rsidRDefault="00152EB8" w:rsidP="00267F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18" w:type="dxa"/>
          </w:tcPr>
          <w:p w14:paraId="408049C4" w14:textId="6C3CF522" w:rsidR="00152EB8" w:rsidRPr="00913C78" w:rsidRDefault="00152EB8" w:rsidP="00267F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13C7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0975670A" w14:textId="24430F14" w:rsidR="00D35D55" w:rsidRPr="00D35D55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Орган Пенсійного фонду України повідомляє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 xml:space="preserve">прийняте рішення невідкладно, а за наявності </w:t>
            </w:r>
            <w:r w:rsidRPr="00D35D55">
              <w:rPr>
                <w:rFonts w:ascii="Times New Roman" w:hAnsi="Times New Roman"/>
                <w:lang w:val="uk-UA"/>
              </w:rPr>
              <w:t>обґрунтованих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причин - не більш як через три робочі дні з дня прийняття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відповідного рішення, шляхом надсилання повідомлення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паперовій або електронній формі (за наявності адреси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електронної пошти).</w:t>
            </w:r>
          </w:p>
          <w:p w14:paraId="149ABC3F" w14:textId="6719950D" w:rsidR="00152EB8" w:rsidRPr="00913C78" w:rsidRDefault="00D35D55" w:rsidP="00D35D55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D35D55">
              <w:rPr>
                <w:rFonts w:ascii="Times New Roman" w:hAnsi="Times New Roman"/>
                <w:lang w:val="uk-UA"/>
              </w:rPr>
              <w:t>Якщо заява з необхідними документами та/або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відомостями була подана через центр надання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адміністративних послуг, орган Пенсійного фонду України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інформує центр надання адміністративних послуг про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 xml:space="preserve">прийняте рішення протягом трьох робочих </w:t>
            </w:r>
            <w:r>
              <w:rPr>
                <w:rFonts w:ascii="Times New Roman" w:hAnsi="Times New Roman"/>
                <w:lang w:val="uk-UA"/>
              </w:rPr>
              <w:t>днів з</w:t>
            </w:r>
            <w:r w:rsidRPr="00D35D55">
              <w:rPr>
                <w:rFonts w:ascii="Times New Roman" w:hAnsi="Times New Roman"/>
                <w:lang w:val="uk-UA"/>
              </w:rPr>
              <w:t xml:space="preserve"> дня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5D55">
              <w:rPr>
                <w:rFonts w:ascii="Times New Roman" w:hAnsi="Times New Roman"/>
                <w:lang w:val="uk-UA"/>
              </w:rPr>
              <w:t>прийняття рішення</w:t>
            </w:r>
          </w:p>
        </w:tc>
      </w:tr>
    </w:tbl>
    <w:p w14:paraId="294E2CE9" w14:textId="77777777" w:rsidR="003B1A90" w:rsidRDefault="003B1A90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3360A7D" w14:textId="77777777" w:rsidR="00AD2B73" w:rsidRDefault="00AD2B73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036A338" w14:textId="77777777" w:rsidR="00AD2B73" w:rsidRPr="00913C78" w:rsidRDefault="00AD2B73" w:rsidP="005E55E8">
      <w:pPr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AD2B73" w:rsidRPr="00913C78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6DE8" w14:textId="77777777" w:rsidR="00EF093A" w:rsidRDefault="00EF093A" w:rsidP="002C0E76">
      <w:r>
        <w:separator/>
      </w:r>
    </w:p>
  </w:endnote>
  <w:endnote w:type="continuationSeparator" w:id="0">
    <w:p w14:paraId="30F33096" w14:textId="77777777" w:rsidR="00EF093A" w:rsidRDefault="00EF093A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67E7" w14:textId="77777777" w:rsidR="00EF093A" w:rsidRDefault="00EF093A" w:rsidP="002C0E76">
      <w:r>
        <w:separator/>
      </w:r>
    </w:p>
  </w:footnote>
  <w:footnote w:type="continuationSeparator" w:id="0">
    <w:p w14:paraId="73596CE8" w14:textId="77777777" w:rsidR="00EF093A" w:rsidRDefault="00EF093A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714CD"/>
    <w:rsid w:val="0007745A"/>
    <w:rsid w:val="000778D4"/>
    <w:rsid w:val="000A5604"/>
    <w:rsid w:val="000B46D8"/>
    <w:rsid w:val="000C3C4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01011"/>
    <w:rsid w:val="001249C8"/>
    <w:rsid w:val="00133C76"/>
    <w:rsid w:val="00152EB8"/>
    <w:rsid w:val="00163F46"/>
    <w:rsid w:val="001B7F2F"/>
    <w:rsid w:val="001D691F"/>
    <w:rsid w:val="001E33ED"/>
    <w:rsid w:val="00206FC8"/>
    <w:rsid w:val="00222188"/>
    <w:rsid w:val="0023082A"/>
    <w:rsid w:val="00251EF3"/>
    <w:rsid w:val="002522C9"/>
    <w:rsid w:val="00252995"/>
    <w:rsid w:val="002601B2"/>
    <w:rsid w:val="00265981"/>
    <w:rsid w:val="00267FA4"/>
    <w:rsid w:val="0027315A"/>
    <w:rsid w:val="00281CA2"/>
    <w:rsid w:val="00287592"/>
    <w:rsid w:val="00296E92"/>
    <w:rsid w:val="002B4741"/>
    <w:rsid w:val="002C0E76"/>
    <w:rsid w:val="002D0CF1"/>
    <w:rsid w:val="002D2171"/>
    <w:rsid w:val="002D3CAA"/>
    <w:rsid w:val="002D6F16"/>
    <w:rsid w:val="002E46A2"/>
    <w:rsid w:val="002F42A4"/>
    <w:rsid w:val="003155EF"/>
    <w:rsid w:val="003163D4"/>
    <w:rsid w:val="00332E6E"/>
    <w:rsid w:val="003356DD"/>
    <w:rsid w:val="003513DD"/>
    <w:rsid w:val="003848FD"/>
    <w:rsid w:val="00393C75"/>
    <w:rsid w:val="003A7B55"/>
    <w:rsid w:val="003B1011"/>
    <w:rsid w:val="003B1A90"/>
    <w:rsid w:val="003B5999"/>
    <w:rsid w:val="003D434F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933DE"/>
    <w:rsid w:val="004A63FB"/>
    <w:rsid w:val="004B6610"/>
    <w:rsid w:val="0051106D"/>
    <w:rsid w:val="005151DD"/>
    <w:rsid w:val="00523458"/>
    <w:rsid w:val="00545EB9"/>
    <w:rsid w:val="00551951"/>
    <w:rsid w:val="00574ABA"/>
    <w:rsid w:val="00584326"/>
    <w:rsid w:val="005E3DD6"/>
    <w:rsid w:val="005E55E8"/>
    <w:rsid w:val="006015B0"/>
    <w:rsid w:val="00606EB8"/>
    <w:rsid w:val="0061117E"/>
    <w:rsid w:val="00674110"/>
    <w:rsid w:val="0068295D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0430"/>
    <w:rsid w:val="00753224"/>
    <w:rsid w:val="00773304"/>
    <w:rsid w:val="007845BA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266DB"/>
    <w:rsid w:val="00830C85"/>
    <w:rsid w:val="008331E5"/>
    <w:rsid w:val="00841FC1"/>
    <w:rsid w:val="0085466A"/>
    <w:rsid w:val="00857B0C"/>
    <w:rsid w:val="0086503B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13C78"/>
    <w:rsid w:val="00931C23"/>
    <w:rsid w:val="00956DDB"/>
    <w:rsid w:val="00970996"/>
    <w:rsid w:val="009765C8"/>
    <w:rsid w:val="009A1A7F"/>
    <w:rsid w:val="009A28A3"/>
    <w:rsid w:val="009B1A3B"/>
    <w:rsid w:val="009C2FBB"/>
    <w:rsid w:val="009C734B"/>
    <w:rsid w:val="009D0E81"/>
    <w:rsid w:val="00A03CCD"/>
    <w:rsid w:val="00A26003"/>
    <w:rsid w:val="00A56DE0"/>
    <w:rsid w:val="00A7022F"/>
    <w:rsid w:val="00A71197"/>
    <w:rsid w:val="00A728A3"/>
    <w:rsid w:val="00A829D8"/>
    <w:rsid w:val="00AB0F8B"/>
    <w:rsid w:val="00AB1E22"/>
    <w:rsid w:val="00AB3351"/>
    <w:rsid w:val="00AD2B73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62C5D"/>
    <w:rsid w:val="00B62F85"/>
    <w:rsid w:val="00B72E3F"/>
    <w:rsid w:val="00B82118"/>
    <w:rsid w:val="00B858C3"/>
    <w:rsid w:val="00B8675A"/>
    <w:rsid w:val="00B930AF"/>
    <w:rsid w:val="00BB65F0"/>
    <w:rsid w:val="00BD3490"/>
    <w:rsid w:val="00BE5EDD"/>
    <w:rsid w:val="00BE70BC"/>
    <w:rsid w:val="00BF11F0"/>
    <w:rsid w:val="00BF2226"/>
    <w:rsid w:val="00C0735F"/>
    <w:rsid w:val="00C22809"/>
    <w:rsid w:val="00C25471"/>
    <w:rsid w:val="00C4250F"/>
    <w:rsid w:val="00C474D8"/>
    <w:rsid w:val="00C56CE6"/>
    <w:rsid w:val="00C701EE"/>
    <w:rsid w:val="00C703E3"/>
    <w:rsid w:val="00C83615"/>
    <w:rsid w:val="00CD5344"/>
    <w:rsid w:val="00CE49B8"/>
    <w:rsid w:val="00D01B82"/>
    <w:rsid w:val="00D05E30"/>
    <w:rsid w:val="00D06BB6"/>
    <w:rsid w:val="00D17C47"/>
    <w:rsid w:val="00D35D55"/>
    <w:rsid w:val="00D52438"/>
    <w:rsid w:val="00D52892"/>
    <w:rsid w:val="00D666D8"/>
    <w:rsid w:val="00D71971"/>
    <w:rsid w:val="00D77628"/>
    <w:rsid w:val="00D87442"/>
    <w:rsid w:val="00D87E15"/>
    <w:rsid w:val="00D94591"/>
    <w:rsid w:val="00D9697A"/>
    <w:rsid w:val="00DB05BA"/>
    <w:rsid w:val="00DC0515"/>
    <w:rsid w:val="00DD377E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80EFD"/>
    <w:rsid w:val="00E946E6"/>
    <w:rsid w:val="00EA4475"/>
    <w:rsid w:val="00EB7DE0"/>
    <w:rsid w:val="00EE3873"/>
    <w:rsid w:val="00EF093A"/>
    <w:rsid w:val="00EF38D8"/>
    <w:rsid w:val="00F140A3"/>
    <w:rsid w:val="00F173CD"/>
    <w:rsid w:val="00F230F2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martynivka-grom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rtynivka.gromada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4032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cp:lastPrinted>2025-08-20T09:01:00Z</cp:lastPrinted>
  <dcterms:created xsi:type="dcterms:W3CDTF">2025-08-21T07:48:00Z</dcterms:created>
  <dcterms:modified xsi:type="dcterms:W3CDTF">2025-08-21T07:57:00Z</dcterms:modified>
</cp:coreProperties>
</file>