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908D" w14:textId="77777777" w:rsidR="00DA27AC" w:rsidRPr="00C561F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55E4C42" w14:textId="77777777" w:rsidR="00DA27AC" w:rsidRPr="00C561F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3DA0746A" w14:textId="77777777" w:rsidR="00DA27AC" w:rsidRPr="00C561F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12.12.2025 № 709/2025</w:t>
      </w:r>
    </w:p>
    <w:p w14:paraId="6D8DDA13" w14:textId="04A6E5AB" w:rsidR="002B4BD8" w:rsidRPr="00C561F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(на підставі н</w:t>
      </w:r>
      <w:r w:rsidR="0044552E"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аказ</w:t>
      </w:r>
      <w:r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у</w:t>
      </w:r>
      <w:r w:rsidR="0044552E"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Міністерства юстиції України </w:t>
      </w:r>
    </w:p>
    <w:p w14:paraId="75F3FD17" w14:textId="770BAB18" w:rsidR="002B4BD8" w:rsidRPr="00C561FA" w:rsidRDefault="0044552E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27</w:t>
      </w:r>
      <w:r w:rsidR="002B4BD8"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0</w:t>
      </w:r>
      <w:r w:rsidR="002B4BD8"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2.2025 № </w:t>
      </w:r>
      <w:r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7</w:t>
      </w:r>
      <w:r w:rsidR="0033755A"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</w:t>
      </w:r>
      <w:r w:rsidR="00D37F29"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</w:t>
      </w:r>
      <w:r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-19.1.1-25</w:t>
      </w:r>
      <w:r w:rsidR="00DA27AC" w:rsidRPr="00C561FA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)</w:t>
      </w:r>
    </w:p>
    <w:p w14:paraId="1680E6B1" w14:textId="77777777" w:rsidR="00DA27AC" w:rsidRPr="00C561FA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566DA793" w14:textId="77777777" w:rsidR="009B1A3B" w:rsidRPr="00C561FA" w:rsidRDefault="009B1A3B" w:rsidP="00D01B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61FA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D2C1C77" w14:textId="0E136E62" w:rsidR="006A448D" w:rsidRPr="00C561FA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561FA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1B31FC" w:rsidRPr="00C561FA">
        <w:rPr>
          <w:rFonts w:ascii="Times New Roman" w:hAnsi="Times New Roman"/>
          <w:b/>
          <w:sz w:val="28"/>
          <w:szCs w:val="28"/>
          <w:u w:val="single"/>
          <w:lang w:val="uk-UA"/>
        </w:rPr>
        <w:t>004</w:t>
      </w:r>
      <w:r w:rsidR="00D37F29" w:rsidRPr="00C561FA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</w:p>
    <w:p w14:paraId="0D565B15" w14:textId="2A150125" w:rsidR="0044552E" w:rsidRPr="00C561FA" w:rsidRDefault="0044552E" w:rsidP="001B31F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561F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Державна реєстрація </w:t>
      </w:r>
      <w:r w:rsidR="00D37F29" w:rsidRPr="00C561FA">
        <w:rPr>
          <w:rFonts w:ascii="Times New Roman" w:hAnsi="Times New Roman"/>
          <w:b/>
          <w:sz w:val="28"/>
          <w:szCs w:val="28"/>
          <w:u w:val="single"/>
          <w:lang w:val="uk-UA"/>
        </w:rPr>
        <w:t>речового права, похідного від права власності</w:t>
      </w:r>
    </w:p>
    <w:p w14:paraId="16530CB3" w14:textId="4B7973A5" w:rsidR="002B4BD8" w:rsidRPr="00C561FA" w:rsidRDefault="002B4BD8" w:rsidP="002B4BD8">
      <w:pPr>
        <w:jc w:val="center"/>
        <w:rPr>
          <w:rFonts w:ascii="Times New Roman" w:hAnsi="Times New Roman"/>
          <w:b/>
          <w:color w:val="0000FF"/>
          <w:lang w:val="uk-UA"/>
        </w:rPr>
      </w:pPr>
      <w:r w:rsidRPr="00C561FA">
        <w:rPr>
          <w:rFonts w:ascii="Times New Roman" w:hAnsi="Times New Roman"/>
          <w:b/>
          <w:color w:val="1F4E79" w:themeColor="accent5" w:themeShade="80"/>
          <w:lang w:val="uk-UA"/>
        </w:rPr>
        <w:t xml:space="preserve">суб’єкт надання адміністративної послуги </w:t>
      </w:r>
      <w:r w:rsidRPr="00C561FA">
        <w:rPr>
          <w:rFonts w:ascii="Times New Roman" w:hAnsi="Times New Roman"/>
          <w:b/>
          <w:lang w:val="uk-UA"/>
        </w:rPr>
        <w:br/>
      </w:r>
      <w:r w:rsidRPr="00C561FA">
        <w:rPr>
          <w:rFonts w:ascii="Times New Roman" w:hAnsi="Times New Roman"/>
          <w:b/>
          <w:color w:val="0000FF"/>
          <w:lang w:val="uk-UA"/>
        </w:rPr>
        <w:t>Управління правового, соціального забезпечення та управління персоналом апарату виконавчого комітету Мартинівської сільради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451"/>
        <w:gridCol w:w="5578"/>
      </w:tblGrid>
      <w:tr w:rsidR="000E760B" w:rsidRPr="00C561FA" w14:paraId="1494BF19" w14:textId="77777777" w:rsidTr="00C561FA">
        <w:trPr>
          <w:trHeight w:val="537"/>
        </w:trPr>
        <w:tc>
          <w:tcPr>
            <w:tcW w:w="9607" w:type="dxa"/>
            <w:gridSpan w:val="3"/>
          </w:tcPr>
          <w:p w14:paraId="666D925C" w14:textId="77777777" w:rsidR="000E760B" w:rsidRPr="00C561FA" w:rsidRDefault="000E760B" w:rsidP="009B1A3B">
            <w:pPr>
              <w:rPr>
                <w:rFonts w:ascii="Times New Roman" w:hAnsi="Times New Roman"/>
                <w:b/>
                <w:lang w:val="uk-UA"/>
              </w:rPr>
            </w:pPr>
            <w:r w:rsidRPr="00C561FA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8F7A08" w:rsidRPr="00C561FA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Pr="00C561FA">
              <w:rPr>
                <w:rFonts w:ascii="Times New Roman" w:hAnsi="Times New Roman"/>
                <w:b/>
                <w:lang w:val="uk-UA"/>
              </w:rPr>
              <w:t xml:space="preserve">  Інформація про центр надання адміністративної послуги</w:t>
            </w:r>
          </w:p>
        </w:tc>
      </w:tr>
      <w:tr w:rsidR="002B4BD8" w:rsidRPr="00C561FA" w14:paraId="7AD3F137" w14:textId="77777777" w:rsidTr="00C561FA">
        <w:trPr>
          <w:trHeight w:val="637"/>
        </w:trPr>
        <w:tc>
          <w:tcPr>
            <w:tcW w:w="578" w:type="dxa"/>
            <w:vMerge w:val="restart"/>
          </w:tcPr>
          <w:p w14:paraId="2973D63C" w14:textId="77777777" w:rsidR="002B4BD8" w:rsidRPr="00C561F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451" w:type="dxa"/>
          </w:tcPr>
          <w:p w14:paraId="5BEE7F75" w14:textId="77777777" w:rsidR="002B4BD8" w:rsidRPr="00C561F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578" w:type="dxa"/>
          </w:tcPr>
          <w:p w14:paraId="679C862A" w14:textId="794936E6" w:rsidR="002B4BD8" w:rsidRPr="00C561F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Pr="00C561FA">
              <w:rPr>
                <w:rFonts w:ascii="Times New Roman" w:hAnsi="Times New Roman"/>
                <w:lang w:val="uk-UA"/>
              </w:rPr>
              <w:br/>
              <w:t xml:space="preserve">с. </w:t>
            </w:r>
            <w:proofErr w:type="spellStart"/>
            <w:r w:rsidRPr="00C561FA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C561FA">
              <w:rPr>
                <w:rFonts w:ascii="Times New Roman" w:hAnsi="Times New Roman"/>
                <w:lang w:val="uk-UA"/>
              </w:rPr>
              <w:t>, вул. Богдана Хмельницького, 5</w:t>
            </w:r>
          </w:p>
        </w:tc>
      </w:tr>
      <w:tr w:rsidR="002B4BD8" w:rsidRPr="00C561FA" w14:paraId="2499B3C8" w14:textId="77777777" w:rsidTr="00C561FA">
        <w:trPr>
          <w:trHeight w:val="1035"/>
        </w:trPr>
        <w:tc>
          <w:tcPr>
            <w:tcW w:w="578" w:type="dxa"/>
            <w:vMerge/>
          </w:tcPr>
          <w:p w14:paraId="2FD9C3C4" w14:textId="77777777" w:rsidR="002B4BD8" w:rsidRPr="00C561FA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5038088C" w14:textId="77777777" w:rsidR="002B4BD8" w:rsidRPr="00C561F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578" w:type="dxa"/>
          </w:tcPr>
          <w:p w14:paraId="195A1A91" w14:textId="77777777" w:rsidR="002B4BD8" w:rsidRPr="00C561FA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30B9F0DD" w14:textId="77777777" w:rsidR="002B4BD8" w:rsidRPr="00C561FA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C561FA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C561FA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685A0CFF" w14:textId="77777777" w:rsidR="002B4BD8" w:rsidRPr="00C561FA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61B1941C" w14:textId="77777777" w:rsidR="002B4BD8" w:rsidRPr="00C561FA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270FCF8A" w14:textId="748BF193" w:rsidR="002B4BD8" w:rsidRPr="00C561F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B4BD8" w:rsidRPr="00C561FA" w14:paraId="2D36466F" w14:textId="77777777" w:rsidTr="00C561FA">
        <w:trPr>
          <w:trHeight w:val="1245"/>
        </w:trPr>
        <w:tc>
          <w:tcPr>
            <w:tcW w:w="578" w:type="dxa"/>
            <w:vMerge/>
          </w:tcPr>
          <w:p w14:paraId="3792C08C" w14:textId="77777777" w:rsidR="002B4BD8" w:rsidRPr="00C561FA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13F179E1" w14:textId="77777777" w:rsidR="002B4BD8" w:rsidRPr="00C561F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31DD5700" w14:textId="77777777" w:rsidR="002B4BD8" w:rsidRPr="00C561FA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578" w:type="dxa"/>
          </w:tcPr>
          <w:p w14:paraId="4CA36565" w14:textId="77777777" w:rsidR="002B4BD8" w:rsidRPr="00C561FA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C561FA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тел.+380669003212</w:t>
            </w:r>
          </w:p>
          <w:p w14:paraId="3375BE3E" w14:textId="77777777" w:rsidR="002B4BD8" w:rsidRPr="00C561FA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8" w:history="1">
              <w:r w:rsidRPr="00C561FA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cnap@martynivka-gromada.gov.ua</w:t>
              </w:r>
            </w:hyperlink>
            <w:r w:rsidRPr="00C561FA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 xml:space="preserve">, </w:t>
            </w:r>
            <w:hyperlink r:id="rId9" w:history="1">
              <w:r w:rsidRPr="00C561FA">
                <w:rPr>
                  <w:rFonts w:eastAsia="Calibri"/>
                  <w:color w:val="0563C1" w:themeColor="hyperlink"/>
                  <w:lang w:val="uk-UA"/>
                </w:rPr>
                <w:t>martynovkatsnap@ukr.net</w:t>
              </w:r>
            </w:hyperlink>
          </w:p>
          <w:p w14:paraId="47100F3D" w14:textId="77777777" w:rsidR="002B4BD8" w:rsidRPr="00C561FA" w:rsidRDefault="002B4BD8" w:rsidP="002B4BD8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10" w:history="1">
              <w:r w:rsidRPr="00C561FA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02DE8238" w14:textId="4E257246" w:rsidR="002B4BD8" w:rsidRPr="00C561FA" w:rsidRDefault="002B4BD8" w:rsidP="002B4BD8">
            <w:pPr>
              <w:widowControl w:val="0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C561FA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C561FA" w14:paraId="1BC20C62" w14:textId="77777777" w:rsidTr="00C561FA">
        <w:trPr>
          <w:trHeight w:val="420"/>
        </w:trPr>
        <w:tc>
          <w:tcPr>
            <w:tcW w:w="9607" w:type="dxa"/>
            <w:gridSpan w:val="3"/>
          </w:tcPr>
          <w:p w14:paraId="1638CAA0" w14:textId="77777777" w:rsidR="00BD3490" w:rsidRPr="00C561FA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 xml:space="preserve">         </w:t>
            </w:r>
            <w:r w:rsidRPr="00C561FA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C561FA" w14:paraId="714B944C" w14:textId="77777777" w:rsidTr="00C561FA">
        <w:trPr>
          <w:trHeight w:val="327"/>
        </w:trPr>
        <w:tc>
          <w:tcPr>
            <w:tcW w:w="578" w:type="dxa"/>
          </w:tcPr>
          <w:p w14:paraId="7E61BE2D" w14:textId="77777777" w:rsidR="00BD3490" w:rsidRPr="00C561FA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2</w:t>
            </w:r>
            <w:r w:rsidR="00BD3490" w:rsidRPr="00C561F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06C9B57E" w14:textId="77777777" w:rsidR="00BD3490" w:rsidRPr="00C561FA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578" w:type="dxa"/>
          </w:tcPr>
          <w:p w14:paraId="0344610B" w14:textId="4A0DE2F5" w:rsidR="00BD3490" w:rsidRPr="00C561FA" w:rsidRDefault="00114ED4" w:rsidP="00114ED4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BD3490" w:rsidRPr="00C561FA" w14:paraId="6A704D16" w14:textId="77777777" w:rsidTr="00C561FA">
        <w:trPr>
          <w:trHeight w:val="679"/>
        </w:trPr>
        <w:tc>
          <w:tcPr>
            <w:tcW w:w="578" w:type="dxa"/>
          </w:tcPr>
          <w:p w14:paraId="7B851561" w14:textId="77777777" w:rsidR="00BD3490" w:rsidRPr="00C561FA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3</w:t>
            </w:r>
            <w:r w:rsidR="00BD3490" w:rsidRPr="00C561F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3B921F0D" w14:textId="77777777" w:rsidR="00BD3490" w:rsidRPr="00C561FA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578" w:type="dxa"/>
          </w:tcPr>
          <w:p w14:paraId="6FBE1674" w14:textId="047CF8AB" w:rsidR="00903F26" w:rsidRPr="00C561FA" w:rsidRDefault="00114ED4" w:rsidP="00114ED4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4C73D5" w:rsidRPr="00C561FA" w14:paraId="12FC88DC" w14:textId="77777777" w:rsidTr="00C561FA">
        <w:trPr>
          <w:trHeight w:val="585"/>
        </w:trPr>
        <w:tc>
          <w:tcPr>
            <w:tcW w:w="578" w:type="dxa"/>
          </w:tcPr>
          <w:p w14:paraId="714A2306" w14:textId="77777777" w:rsidR="004C73D5" w:rsidRPr="00C561FA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51" w:type="dxa"/>
          </w:tcPr>
          <w:p w14:paraId="442E9BCF" w14:textId="77777777" w:rsidR="004C73D5" w:rsidRPr="00C561FA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578" w:type="dxa"/>
          </w:tcPr>
          <w:p w14:paraId="4B1C2D24" w14:textId="03291CEB" w:rsidR="004C73D5" w:rsidRPr="00C561FA" w:rsidRDefault="007E4721" w:rsidP="007E4721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  <w:r w:rsidRPr="00C561FA">
              <w:rPr>
                <w:rStyle w:val="fontstyle01"/>
                <w:lang w:val="uk-UA"/>
              </w:rPr>
              <w:t>Наказ Міністерства юстиції України від 21 листопада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 xml:space="preserve">2016 року № 3276/5 «Про затвердження </w:t>
            </w:r>
            <w:r w:rsidRPr="00C561FA">
              <w:rPr>
                <w:rStyle w:val="fontstyle01"/>
                <w:lang w:val="uk-UA"/>
              </w:rPr>
              <w:lastRenderedPageBreak/>
              <w:t>Вимог до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оформлення заяв та рішень у сфері державної реєстрації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речових прав на нерухоме майно та їх обтяжень»,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зареєстрований у Міністерстві юстиції України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21 листопада 2016 року за № 1504/29634 (зі змінами);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наказ Міністерства юстиції України від 28 березня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2016 року № 898/5 «Про врегулювання відносин,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пов’язаних з державною реєстрацією речових прав на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нерухоме майно, що розташоване на тимчасово окуповані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території України», зареєстрований у Міністерстві юстиції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України 29 березня 2016 року за № 468/28598 (зі змінами)</w:t>
            </w:r>
          </w:p>
        </w:tc>
      </w:tr>
      <w:tr w:rsidR="004C73D5" w:rsidRPr="00C561FA" w14:paraId="0842C964" w14:textId="77777777" w:rsidTr="00C561FA">
        <w:trPr>
          <w:trHeight w:val="844"/>
        </w:trPr>
        <w:tc>
          <w:tcPr>
            <w:tcW w:w="578" w:type="dxa"/>
          </w:tcPr>
          <w:p w14:paraId="7D1B1E09" w14:textId="77777777" w:rsidR="004C73D5" w:rsidRPr="00C561FA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lastRenderedPageBreak/>
              <w:t>5.</w:t>
            </w:r>
          </w:p>
        </w:tc>
        <w:tc>
          <w:tcPr>
            <w:tcW w:w="3451" w:type="dxa"/>
          </w:tcPr>
          <w:p w14:paraId="145C2F5E" w14:textId="77777777" w:rsidR="004C73D5" w:rsidRPr="00C561FA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8" w:type="dxa"/>
          </w:tcPr>
          <w:p w14:paraId="2F91D26F" w14:textId="334A8165" w:rsidR="004C73D5" w:rsidRPr="00C561FA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BD3490" w:rsidRPr="00C561FA" w14:paraId="4FB8EF26" w14:textId="77777777" w:rsidTr="00C561FA">
        <w:trPr>
          <w:trHeight w:val="416"/>
        </w:trPr>
        <w:tc>
          <w:tcPr>
            <w:tcW w:w="9607" w:type="dxa"/>
            <w:gridSpan w:val="3"/>
          </w:tcPr>
          <w:p w14:paraId="0534A55F" w14:textId="77777777" w:rsidR="00BD3490" w:rsidRPr="00C561FA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C561FA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</w:t>
            </w:r>
            <w:r w:rsidR="00A851D1" w:rsidRPr="00C561FA">
              <w:rPr>
                <w:rFonts w:ascii="Times New Roman" w:hAnsi="Times New Roman"/>
                <w:b/>
                <w:lang w:val="uk-UA"/>
              </w:rPr>
              <w:t>римання адміністративної послуги</w:t>
            </w:r>
          </w:p>
        </w:tc>
      </w:tr>
      <w:tr w:rsidR="00BD3490" w:rsidRPr="00C561FA" w14:paraId="17DF5E11" w14:textId="77777777" w:rsidTr="00C561FA">
        <w:trPr>
          <w:trHeight w:val="593"/>
        </w:trPr>
        <w:tc>
          <w:tcPr>
            <w:tcW w:w="578" w:type="dxa"/>
          </w:tcPr>
          <w:p w14:paraId="04BB6325" w14:textId="77777777" w:rsidR="00BD3490" w:rsidRPr="00C561FA" w:rsidRDefault="00BD3490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451" w:type="dxa"/>
          </w:tcPr>
          <w:p w14:paraId="23D729DB" w14:textId="77777777" w:rsidR="00BD3490" w:rsidRPr="00C561FA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578" w:type="dxa"/>
          </w:tcPr>
          <w:p w14:paraId="66B06353" w14:textId="1DB08A68" w:rsidR="00BD3490" w:rsidRPr="00C561FA" w:rsidRDefault="00A47D03" w:rsidP="00A47D0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561FA">
              <w:rPr>
                <w:rStyle w:val="fontstyle01"/>
                <w:lang w:val="uk-UA"/>
              </w:rPr>
              <w:t>Заява заявника або уповноваженої особи</w:t>
            </w:r>
          </w:p>
        </w:tc>
      </w:tr>
      <w:tr w:rsidR="00A742A4" w:rsidRPr="00C561FA" w14:paraId="2EFE21FB" w14:textId="77777777" w:rsidTr="00C561FA">
        <w:trPr>
          <w:trHeight w:val="895"/>
        </w:trPr>
        <w:tc>
          <w:tcPr>
            <w:tcW w:w="578" w:type="dxa"/>
          </w:tcPr>
          <w:p w14:paraId="6F286FC4" w14:textId="77777777" w:rsidR="00A742A4" w:rsidRPr="00C561FA" w:rsidRDefault="00A742A4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3451" w:type="dxa"/>
          </w:tcPr>
          <w:p w14:paraId="39AA3DD2" w14:textId="77777777" w:rsidR="00A47D03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Вичерпний перелік</w:t>
            </w:r>
          </w:p>
          <w:p w14:paraId="53127CED" w14:textId="77777777" w:rsidR="00A47D03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документів, необхідних для</w:t>
            </w:r>
          </w:p>
          <w:p w14:paraId="074F6F8F" w14:textId="77777777" w:rsidR="00A47D03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отримання адміністративної</w:t>
            </w:r>
          </w:p>
          <w:p w14:paraId="7D5497E1" w14:textId="0D77842A" w:rsidR="00A742A4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послуги</w:t>
            </w:r>
          </w:p>
        </w:tc>
        <w:tc>
          <w:tcPr>
            <w:tcW w:w="5578" w:type="dxa"/>
          </w:tcPr>
          <w:p w14:paraId="61BF2CF0" w14:textId="77777777" w:rsidR="009E5337" w:rsidRPr="00C561FA" w:rsidRDefault="009E5337" w:rsidP="009E5337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Заява про державну реєстрацію прав;</w:t>
            </w:r>
          </w:p>
          <w:p w14:paraId="2C256470" w14:textId="04CB2CD5" w:rsidR="009E5337" w:rsidRPr="00C561FA" w:rsidRDefault="009E5337" w:rsidP="009E5337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документ, що підтверджує сплату адміністративного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збору в повному обсязі або документ, що підтверджує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право на звільнення від сплати адміністративного збору;</w:t>
            </w:r>
          </w:p>
          <w:p w14:paraId="0E6AB714" w14:textId="2D34B01C" w:rsidR="0086024B" w:rsidRPr="00C561FA" w:rsidRDefault="009E5337" w:rsidP="009E5337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документи, необхідні для відповідної реєстрації,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передбачені частиною першою статті 27 Закону України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«Про державну реєстрацію речових прав на нерухоме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майно та їх обтяжень» та Порядком державної реєстрації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речових прав на нерухоме майно та їх обтяжень,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затвердженим постановою Кабінету Міністрів України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від 25 грудня 2015 року № 1127 «Про державну реєстрацію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речових прав на нерухоме майно та їх обтяжень» (зі</w:t>
            </w:r>
            <w:r w:rsidRPr="00C561FA">
              <w:rPr>
                <w:rFonts w:ascii="Times New Roman" w:hAnsi="Times New Roman"/>
                <w:lang w:val="uk-UA"/>
              </w:rPr>
              <w:t xml:space="preserve"> </w:t>
            </w:r>
            <w:r w:rsidRPr="00C561FA">
              <w:rPr>
                <w:rFonts w:ascii="Times New Roman" w:hAnsi="Times New Roman"/>
                <w:lang w:val="uk-UA"/>
              </w:rPr>
              <w:t>змінами)</w:t>
            </w:r>
          </w:p>
        </w:tc>
      </w:tr>
      <w:tr w:rsidR="003A7B55" w:rsidRPr="00C561FA" w14:paraId="76B0CD97" w14:textId="77777777" w:rsidTr="00C561FA">
        <w:trPr>
          <w:trHeight w:val="1096"/>
        </w:trPr>
        <w:tc>
          <w:tcPr>
            <w:tcW w:w="578" w:type="dxa"/>
          </w:tcPr>
          <w:p w14:paraId="666A57FF" w14:textId="77777777" w:rsidR="003A7B55" w:rsidRPr="00C561FA" w:rsidRDefault="00472B58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451" w:type="dxa"/>
          </w:tcPr>
          <w:p w14:paraId="18BECC39" w14:textId="77777777" w:rsidR="003A7B55" w:rsidRPr="00C561FA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8" w:type="dxa"/>
          </w:tcPr>
          <w:p w14:paraId="185B03E3" w14:textId="648FF6FA" w:rsidR="007915C2" w:rsidRPr="00C561FA" w:rsidRDefault="009E5337" w:rsidP="009E5337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1) у паперовій формі документи подаються заявником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особисто або уповноваженою ним особою;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2) в електронній формі – через Єдиний державний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proofErr w:type="spellStart"/>
            <w:r w:rsidRPr="00C561FA">
              <w:rPr>
                <w:rStyle w:val="fontstyle01"/>
                <w:lang w:val="uk-UA"/>
              </w:rPr>
              <w:t>вебпортал</w:t>
            </w:r>
            <w:proofErr w:type="spellEnd"/>
            <w:r w:rsidRPr="00C561FA">
              <w:rPr>
                <w:rStyle w:val="fontstyle01"/>
                <w:lang w:val="uk-UA"/>
              </w:rPr>
              <w:t xml:space="preserve"> електронних послуг чи інші інформаційні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системи*</w:t>
            </w:r>
          </w:p>
        </w:tc>
      </w:tr>
      <w:tr w:rsidR="007915C2" w:rsidRPr="00C561FA" w14:paraId="2143F3AF" w14:textId="77777777" w:rsidTr="00C561FA">
        <w:trPr>
          <w:trHeight w:val="630"/>
        </w:trPr>
        <w:tc>
          <w:tcPr>
            <w:tcW w:w="578" w:type="dxa"/>
          </w:tcPr>
          <w:p w14:paraId="77CC078C" w14:textId="77777777" w:rsidR="007915C2" w:rsidRPr="00C561FA" w:rsidRDefault="00727B3A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 xml:space="preserve">  9.</w:t>
            </w:r>
          </w:p>
        </w:tc>
        <w:tc>
          <w:tcPr>
            <w:tcW w:w="3451" w:type="dxa"/>
          </w:tcPr>
          <w:p w14:paraId="694A8310" w14:textId="77777777" w:rsidR="007B2C40" w:rsidRPr="00C561FA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5578" w:type="dxa"/>
          </w:tcPr>
          <w:p w14:paraId="6A92EABB" w14:textId="7BB6C963" w:rsidR="007B2C40" w:rsidRPr="00C561FA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Адміністративна послуга надається платно, крім випадків, визначених статтею 34 Закону України «Про державну реєстрацію речових прав на нерухоме майно та їх обтяжень»</w:t>
            </w:r>
          </w:p>
        </w:tc>
      </w:tr>
      <w:tr w:rsidR="00B53F30" w:rsidRPr="00C561FA" w14:paraId="550DD819" w14:textId="77777777" w:rsidTr="00C561FA">
        <w:trPr>
          <w:trHeight w:val="569"/>
        </w:trPr>
        <w:tc>
          <w:tcPr>
            <w:tcW w:w="578" w:type="dxa"/>
          </w:tcPr>
          <w:p w14:paraId="46E83BB1" w14:textId="77777777" w:rsidR="00B53F30" w:rsidRPr="00C561FA" w:rsidRDefault="00B53F30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451" w:type="dxa"/>
          </w:tcPr>
          <w:p w14:paraId="775434ED" w14:textId="5AD45BF2" w:rsidR="00B53F30" w:rsidRPr="00C561FA" w:rsidRDefault="00B53F30" w:rsidP="002B4BD8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5578" w:type="dxa"/>
          </w:tcPr>
          <w:p w14:paraId="747F5C89" w14:textId="786D5BE5" w:rsidR="00B53F30" w:rsidRPr="00C561FA" w:rsidRDefault="009E5337" w:rsidP="009E5337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Державна реєстрація інших речових прав, відмінних від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права власності проводиться у строк, що не перевищує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п’яти робочих днів з дня реєстрації відповідної заяви в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Державному реєстрі прав, крім випадку, передбаченому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статтею 31</w:t>
            </w:r>
            <w:r w:rsidRPr="00C561FA">
              <w:rPr>
                <w:rStyle w:val="fontstyle01"/>
                <w:sz w:val="16"/>
                <w:szCs w:val="16"/>
                <w:vertAlign w:val="superscript"/>
                <w:lang w:val="uk-UA"/>
              </w:rPr>
              <w:t>-2</w:t>
            </w:r>
            <w:r w:rsidRPr="00C561FA">
              <w:rPr>
                <w:rStyle w:val="fontstyle01"/>
                <w:sz w:val="16"/>
                <w:szCs w:val="16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Закону України «Про державну реєстрацію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речових прав на нерухоме майно та їх обтяжень».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Скорочені строки проведення державної реєстрації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 xml:space="preserve">речових прав на нерухоме майно, похідних від </w:t>
            </w:r>
            <w:r w:rsidRPr="00C561FA">
              <w:rPr>
                <w:rStyle w:val="fontstyle01"/>
                <w:lang w:val="uk-UA"/>
              </w:rPr>
              <w:lastRenderedPageBreak/>
              <w:t>права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власності: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2 робочі дні;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1 робочий день;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2 години</w:t>
            </w:r>
          </w:p>
        </w:tc>
      </w:tr>
      <w:tr w:rsidR="00444B66" w:rsidRPr="00C561FA" w14:paraId="631506EB" w14:textId="77777777" w:rsidTr="00C561FA">
        <w:trPr>
          <w:trHeight w:val="585"/>
        </w:trPr>
        <w:tc>
          <w:tcPr>
            <w:tcW w:w="578" w:type="dxa"/>
          </w:tcPr>
          <w:p w14:paraId="0F281951" w14:textId="77777777" w:rsidR="00444B66" w:rsidRPr="00C561FA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lastRenderedPageBreak/>
              <w:t>11.</w:t>
            </w:r>
          </w:p>
        </w:tc>
        <w:tc>
          <w:tcPr>
            <w:tcW w:w="3451" w:type="dxa"/>
          </w:tcPr>
          <w:p w14:paraId="105FF0ED" w14:textId="0D3234A8" w:rsidR="00444B66" w:rsidRPr="00C561FA" w:rsidRDefault="00D255C4" w:rsidP="00D255C4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Перелік підстав для залишення заяви про державну реєстрацію прав без руху</w:t>
            </w:r>
          </w:p>
        </w:tc>
        <w:tc>
          <w:tcPr>
            <w:tcW w:w="5578" w:type="dxa"/>
          </w:tcPr>
          <w:p w14:paraId="4BAA65ED" w14:textId="703AFB16" w:rsidR="00A05229" w:rsidRPr="00C561FA" w:rsidRDefault="00F37D75" w:rsidP="00F37D75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1) подання документів для державної реєстрації прав не в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повному обсязі, передбаченому законодавством;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2) відсутність документа, що підтверджує оплату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адміністративних послуг у повному обсязі;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3) неподання заявником чи неотримання державним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реєстратором у порядку, визначеному у пункті 3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частини третьої статті 10 Закону України «Про державну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реєстрацію речових прав на нерухоме майно та їх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обтяжень», інформації про зареєстровані до 01 січня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2013 року речові права на відповідне нерухоме майно,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якщо наявність такої інформації є необхідною для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державної реєстрації прав;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4) направлення запиту до суду для отримання копії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судового рішення</w:t>
            </w:r>
          </w:p>
        </w:tc>
      </w:tr>
      <w:tr w:rsidR="00A47D03" w:rsidRPr="00C561FA" w14:paraId="2A803B46" w14:textId="77777777" w:rsidTr="00C561FA">
        <w:trPr>
          <w:trHeight w:val="585"/>
        </w:trPr>
        <w:tc>
          <w:tcPr>
            <w:tcW w:w="578" w:type="dxa"/>
          </w:tcPr>
          <w:p w14:paraId="3B91B95E" w14:textId="66401E1B" w:rsidR="00A47D03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3451" w:type="dxa"/>
          </w:tcPr>
          <w:p w14:paraId="60812895" w14:textId="575658CF" w:rsidR="00A47D03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 xml:space="preserve">Перелік підстав для відмови у наданні адміністративної послуги. </w:t>
            </w:r>
          </w:p>
        </w:tc>
        <w:tc>
          <w:tcPr>
            <w:tcW w:w="5578" w:type="dxa"/>
          </w:tcPr>
          <w:p w14:paraId="55FEC960" w14:textId="03D541E7" w:rsidR="00D255C4" w:rsidRPr="00C561FA" w:rsidRDefault="00F37D75" w:rsidP="00F37D75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1) заявлене речове право не підлягає державній реєстрації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відповідно до Закону України «Про державну реєстрацію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речових прав на нерухоме майно та їх обтяжень»;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2) заява про державну реєстрацію речових прав на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нерухоме майно, похідних від права власності подана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неналежною особою;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3) подані документи не відповідають вимогам,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встановленим Законом України «Про державну реєстрацію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речових прав на нерухоме майно та їх обтяжень»;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4) подані документи не дають змоги встановити набуття,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зміну або припинення речових прав на нерухоме майно;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5) наявні суперечності між заявленими та вже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зареєстрованими речовими правами на нерухоме майно;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6) наявні зареєстровані обтяження речових прав на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нерухоме майно;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7) встановлення факту застосування санкцій відповідно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до Закону України «Про санкції», які унеможливлюють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проведення державної реєстрації прав;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8) після завершення строку, встановленого частиною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третьою статті 23 Закону України «Про державну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реєстрацію речових прав на нерухоме майно та їх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обтяжень», не усунені обставини, що були підставою для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прийняття рішення про залишення заяви про державну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реєстрацію прав без руху;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9) відсутність дозволу кредитора за аграрною нотою на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 xml:space="preserve">проведення державної реєстрації прав у </w:t>
            </w:r>
            <w:r w:rsidRPr="00C561FA">
              <w:rPr>
                <w:rStyle w:val="fontstyle01"/>
                <w:lang w:val="uk-UA"/>
              </w:rPr>
              <w:lastRenderedPageBreak/>
              <w:t>результаті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відчуження боржником за відповідною аграрною нотою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належної земельної ділянки (крім звернення стягнення на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предмет іпотеки), права оренди, права емфітевзису або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 xml:space="preserve">права </w:t>
            </w:r>
            <w:proofErr w:type="spellStart"/>
            <w:r w:rsidRPr="00C561FA">
              <w:rPr>
                <w:rStyle w:val="fontstyle01"/>
                <w:lang w:val="uk-UA"/>
              </w:rPr>
              <w:t>суперфіцію</w:t>
            </w:r>
            <w:proofErr w:type="spellEnd"/>
            <w:r w:rsidRPr="00C561FA">
              <w:rPr>
                <w:rStyle w:val="fontstyle01"/>
                <w:lang w:val="uk-UA"/>
              </w:rPr>
              <w:t>, укладення договору суборенди,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 xml:space="preserve">розірвання договору оренди, емфітевзису або </w:t>
            </w:r>
            <w:proofErr w:type="spellStart"/>
            <w:r w:rsidRPr="00C561FA">
              <w:rPr>
                <w:rStyle w:val="fontstyle01"/>
                <w:lang w:val="uk-UA"/>
              </w:rPr>
              <w:t>суперфіцію</w:t>
            </w:r>
            <w:proofErr w:type="spellEnd"/>
            <w:r w:rsidRPr="00C561FA">
              <w:rPr>
                <w:rStyle w:val="fontstyle01"/>
                <w:lang w:val="uk-UA"/>
              </w:rPr>
              <w:t>,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 xml:space="preserve">внесення змін до такого договору або відмову від нього </w:t>
            </w:r>
            <w:r w:rsidRPr="00C561FA">
              <w:rPr>
                <w:rStyle w:val="fontstyle01"/>
                <w:lang w:val="uk-UA"/>
              </w:rPr>
              <w:t>–</w:t>
            </w:r>
            <w:r w:rsidRPr="00C561FA">
              <w:rPr>
                <w:rStyle w:val="fontstyle01"/>
                <w:lang w:val="uk-UA"/>
              </w:rPr>
              <w:t xml:space="preserve"> 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разі якщо земельна ділянка зазначена в Реєстрі аграрних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нот як місце вирощування заставленої майбутньої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сільськогосподарської продукції;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10) документи подано до неналежного суб’єкта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державної реєстрації прав, нотаріуса;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11) заяву про державну реєстрацію речових прав на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нерухоме майно, похідних від права власності в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електронній формі подано особою, яка згідно із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законодавством не має повноважень подавати заяви в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електронній формі;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12) заявником подано ті самі документи, на підставі яких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заявлене речове право вже зареєстровано у Державному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реєстрі речових прав на нерухоме майно;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13) відсутність згоди заставодержателя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(іпотекодержателя) на дострокове припинення дії договору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 xml:space="preserve">емфітевзису, </w:t>
            </w:r>
            <w:proofErr w:type="spellStart"/>
            <w:r w:rsidRPr="00C561FA">
              <w:rPr>
                <w:rStyle w:val="fontstyle01"/>
                <w:lang w:val="uk-UA"/>
              </w:rPr>
              <w:t>суперфіцію</w:t>
            </w:r>
            <w:proofErr w:type="spellEnd"/>
            <w:r w:rsidRPr="00C561FA">
              <w:rPr>
                <w:rStyle w:val="fontstyle01"/>
                <w:lang w:val="uk-UA"/>
              </w:rPr>
              <w:t>, оренди земельної ділянки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сільськогосподарського призначення щодо державної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реєстрації припинення таких прав, що перебувають 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заставі (іпотеці)</w:t>
            </w:r>
          </w:p>
        </w:tc>
      </w:tr>
      <w:tr w:rsidR="00A47D03" w:rsidRPr="00C561FA" w14:paraId="0E4E0C3B" w14:textId="77777777" w:rsidTr="00C561FA">
        <w:trPr>
          <w:trHeight w:val="668"/>
        </w:trPr>
        <w:tc>
          <w:tcPr>
            <w:tcW w:w="578" w:type="dxa"/>
          </w:tcPr>
          <w:p w14:paraId="38B74CB3" w14:textId="776A7B6F" w:rsidR="00A47D03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3451" w:type="dxa"/>
          </w:tcPr>
          <w:p w14:paraId="6B063502" w14:textId="77777777" w:rsidR="00A47D03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578" w:type="dxa"/>
          </w:tcPr>
          <w:p w14:paraId="682C8097" w14:textId="1B191C7F" w:rsidR="00A47D03" w:rsidRPr="00C561FA" w:rsidRDefault="00C561FA" w:rsidP="00C561FA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1) прийняття рішення про державну реєстрацію прав;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відкриття розділу в Державному реєстрі речових прав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на нерухоме майно та/або внесення до відкритого розділу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або спеціального розділу Державного реєстру речових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прав на нерухоме майно відповідних відомостей про речові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права на нерухоме майно, про об’єкти та суб’єктів цих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прав;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формування витягу з Державного реєстру речових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прав на нерухоме майно про проведену державну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реєстрацію прав;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C561FA">
              <w:rPr>
                <w:rStyle w:val="fontstyle01"/>
                <w:lang w:val="uk-UA"/>
              </w:rPr>
              <w:t>2) рішення про відмову у державній реєстрації із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зазначенням виключного переліку обставин, що стали</w:t>
            </w:r>
            <w:r w:rsidRPr="00C561FA">
              <w:rPr>
                <w:rStyle w:val="fontstyle01"/>
                <w:lang w:val="uk-UA"/>
              </w:rPr>
              <w:t xml:space="preserve"> </w:t>
            </w:r>
            <w:r w:rsidRPr="00C561FA">
              <w:rPr>
                <w:rStyle w:val="fontstyle01"/>
                <w:lang w:val="uk-UA"/>
              </w:rPr>
              <w:t>підставою для його прийняття</w:t>
            </w:r>
          </w:p>
        </w:tc>
      </w:tr>
      <w:tr w:rsidR="00A47D03" w:rsidRPr="00C561FA" w14:paraId="1C207484" w14:textId="77777777" w:rsidTr="00C561FA">
        <w:trPr>
          <w:trHeight w:val="693"/>
        </w:trPr>
        <w:tc>
          <w:tcPr>
            <w:tcW w:w="578" w:type="dxa"/>
          </w:tcPr>
          <w:p w14:paraId="6337F212" w14:textId="7C9199DC" w:rsidR="00A47D03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451" w:type="dxa"/>
          </w:tcPr>
          <w:p w14:paraId="744E970B" w14:textId="77777777" w:rsidR="00A47D03" w:rsidRPr="00C561FA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578" w:type="dxa"/>
          </w:tcPr>
          <w:p w14:paraId="06058087" w14:textId="308BD385" w:rsidR="00A47D03" w:rsidRPr="00C561FA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C561FA">
              <w:rPr>
                <w:rStyle w:val="fontstyle01"/>
                <w:lang w:val="uk-UA"/>
              </w:rPr>
              <w:t>Через центр надання адміністративних послуг або безпосередньо державним реєстратором;</w:t>
            </w:r>
            <w:r w:rsidRPr="00C561FA">
              <w:rPr>
                <w:rFonts w:ascii="TimesNewRomanPSMT" w:hAnsi="TimesNewRomanPSMT"/>
                <w:color w:val="000000"/>
                <w:lang w:val="uk-UA"/>
              </w:rPr>
              <w:br/>
            </w:r>
            <w:proofErr w:type="spellStart"/>
            <w:r w:rsidRPr="00C561FA">
              <w:rPr>
                <w:rStyle w:val="fontstyle01"/>
                <w:lang w:val="uk-UA"/>
              </w:rPr>
              <w:t>вебпортал</w:t>
            </w:r>
            <w:proofErr w:type="spellEnd"/>
            <w:r w:rsidRPr="00C561FA">
              <w:rPr>
                <w:rStyle w:val="fontstyle01"/>
                <w:lang w:val="uk-UA"/>
              </w:rPr>
              <w:t xml:space="preserve"> Мін’юсту*</w:t>
            </w:r>
          </w:p>
        </w:tc>
      </w:tr>
    </w:tbl>
    <w:p w14:paraId="584545AA" w14:textId="3A4E0CAC" w:rsidR="00DA27AC" w:rsidRPr="00C561FA" w:rsidRDefault="00D255C4" w:rsidP="009D02DA">
      <w:pPr>
        <w:rPr>
          <w:rFonts w:ascii="Times New Roman" w:hAnsi="Times New Roman"/>
          <w:sz w:val="28"/>
          <w:szCs w:val="28"/>
          <w:lang w:val="uk-UA"/>
        </w:rPr>
      </w:pPr>
      <w:r w:rsidRPr="00C561FA">
        <w:rPr>
          <w:rFonts w:ascii="Times New Roman" w:hAnsi="Times New Roman"/>
          <w:sz w:val="20"/>
          <w:szCs w:val="20"/>
          <w:lang w:val="uk-UA"/>
        </w:rPr>
        <w:t>*Після доопрацювання порталу електронних сервісів, який буде забезпечувати можливість подання таких документів в електронній формі</w:t>
      </w:r>
      <w:r w:rsidRPr="00C561FA">
        <w:rPr>
          <w:rFonts w:ascii="Times New Roman" w:hAnsi="Times New Roman"/>
          <w:sz w:val="20"/>
          <w:szCs w:val="20"/>
          <w:lang w:val="uk-UA"/>
        </w:rPr>
        <w:br/>
      </w:r>
    </w:p>
    <w:p w14:paraId="3BE6DAA6" w14:textId="7E8F2A30" w:rsidR="005028C6" w:rsidRPr="00C561FA" w:rsidRDefault="00D255C4" w:rsidP="009D02DA">
      <w:pPr>
        <w:rPr>
          <w:rFonts w:ascii="Times New Roman" w:hAnsi="Times New Roman"/>
          <w:sz w:val="28"/>
          <w:szCs w:val="28"/>
          <w:lang w:val="uk-UA"/>
        </w:rPr>
      </w:pPr>
      <w:r w:rsidRPr="00C561FA"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  <w:r w:rsidRPr="00C561FA">
        <w:rPr>
          <w:rFonts w:ascii="Times New Roman" w:hAnsi="Times New Roman"/>
          <w:sz w:val="28"/>
          <w:szCs w:val="28"/>
          <w:lang w:val="uk-UA"/>
        </w:rPr>
        <w:br/>
        <w:t xml:space="preserve">державної реєстрації </w:t>
      </w:r>
      <w:r w:rsidRPr="00C561FA">
        <w:rPr>
          <w:rFonts w:ascii="Times New Roman" w:hAnsi="Times New Roman"/>
          <w:sz w:val="28"/>
          <w:szCs w:val="28"/>
          <w:lang w:val="uk-UA"/>
        </w:rPr>
        <w:tab/>
      </w:r>
      <w:r w:rsidRPr="00C561FA">
        <w:rPr>
          <w:rFonts w:ascii="Times New Roman" w:hAnsi="Times New Roman"/>
          <w:sz w:val="28"/>
          <w:szCs w:val="28"/>
          <w:lang w:val="uk-UA"/>
        </w:rPr>
        <w:tab/>
      </w:r>
      <w:r w:rsidRPr="00C561FA">
        <w:rPr>
          <w:rFonts w:ascii="Times New Roman" w:hAnsi="Times New Roman"/>
          <w:sz w:val="28"/>
          <w:szCs w:val="28"/>
          <w:lang w:val="uk-UA"/>
        </w:rPr>
        <w:tab/>
      </w:r>
      <w:r w:rsidRPr="00C561FA">
        <w:rPr>
          <w:rFonts w:ascii="Times New Roman" w:hAnsi="Times New Roman"/>
          <w:sz w:val="28"/>
          <w:szCs w:val="28"/>
          <w:lang w:val="uk-UA"/>
        </w:rPr>
        <w:tab/>
      </w:r>
      <w:r w:rsidRPr="00C561FA">
        <w:rPr>
          <w:rFonts w:ascii="Times New Roman" w:hAnsi="Times New Roman"/>
          <w:sz w:val="28"/>
          <w:szCs w:val="28"/>
          <w:lang w:val="uk-UA"/>
        </w:rPr>
        <w:tab/>
      </w:r>
      <w:r w:rsidRPr="00C561FA">
        <w:rPr>
          <w:rFonts w:ascii="Times New Roman" w:hAnsi="Times New Roman"/>
          <w:sz w:val="28"/>
          <w:szCs w:val="28"/>
          <w:lang w:val="uk-UA"/>
        </w:rPr>
        <w:tab/>
        <w:t>В’ячеслав ХАРДІКОВ</w:t>
      </w:r>
    </w:p>
    <w:sectPr w:rsidR="005028C6" w:rsidRPr="00C561FA" w:rsidSect="0054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4D4D" w14:textId="77777777" w:rsidR="001460DE" w:rsidRDefault="001460DE" w:rsidP="006B0396">
      <w:r>
        <w:separator/>
      </w:r>
    </w:p>
  </w:endnote>
  <w:endnote w:type="continuationSeparator" w:id="0">
    <w:p w14:paraId="67A86D5F" w14:textId="77777777" w:rsidR="001460DE" w:rsidRDefault="001460DE" w:rsidP="006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F33C" w14:textId="77777777" w:rsidR="001460DE" w:rsidRDefault="001460DE" w:rsidP="006B0396">
      <w:r>
        <w:separator/>
      </w:r>
    </w:p>
  </w:footnote>
  <w:footnote w:type="continuationSeparator" w:id="0">
    <w:p w14:paraId="1B1E6755" w14:textId="77777777" w:rsidR="001460DE" w:rsidRDefault="001460DE" w:rsidP="006B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2016C"/>
    <w:multiLevelType w:val="hybridMultilevel"/>
    <w:tmpl w:val="9564996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2D6"/>
    <w:multiLevelType w:val="hybridMultilevel"/>
    <w:tmpl w:val="E646AA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4AA8"/>
    <w:multiLevelType w:val="hybridMultilevel"/>
    <w:tmpl w:val="960E0D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3192"/>
    <w:multiLevelType w:val="hybridMultilevel"/>
    <w:tmpl w:val="C08417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5602"/>
    <w:multiLevelType w:val="hybridMultilevel"/>
    <w:tmpl w:val="9770170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7D41"/>
    <w:multiLevelType w:val="hybridMultilevel"/>
    <w:tmpl w:val="F7F6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105"/>
    <w:multiLevelType w:val="hybridMultilevel"/>
    <w:tmpl w:val="4B2E76A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1506">
    <w:abstractNumId w:val="3"/>
  </w:num>
  <w:num w:numId="2" w16cid:durableId="2247225">
    <w:abstractNumId w:val="0"/>
  </w:num>
  <w:num w:numId="3" w16cid:durableId="636570313">
    <w:abstractNumId w:val="4"/>
  </w:num>
  <w:num w:numId="4" w16cid:durableId="1378435708">
    <w:abstractNumId w:val="6"/>
  </w:num>
  <w:num w:numId="5" w16cid:durableId="1325281818">
    <w:abstractNumId w:val="1"/>
  </w:num>
  <w:num w:numId="6" w16cid:durableId="1287346075">
    <w:abstractNumId w:val="7"/>
  </w:num>
  <w:num w:numId="7" w16cid:durableId="408237949">
    <w:abstractNumId w:val="5"/>
  </w:num>
  <w:num w:numId="8" w16cid:durableId="1831873511">
    <w:abstractNumId w:val="8"/>
  </w:num>
  <w:num w:numId="9" w16cid:durableId="51959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B"/>
    <w:rsid w:val="00005CF5"/>
    <w:rsid w:val="000165BB"/>
    <w:rsid w:val="00072E04"/>
    <w:rsid w:val="000A5604"/>
    <w:rsid w:val="000B028F"/>
    <w:rsid w:val="000D27B6"/>
    <w:rsid w:val="000E1C1B"/>
    <w:rsid w:val="000E760B"/>
    <w:rsid w:val="000F6276"/>
    <w:rsid w:val="00114ED4"/>
    <w:rsid w:val="00122BD6"/>
    <w:rsid w:val="001460DE"/>
    <w:rsid w:val="001568C4"/>
    <w:rsid w:val="00157577"/>
    <w:rsid w:val="00173263"/>
    <w:rsid w:val="0018646A"/>
    <w:rsid w:val="001B226C"/>
    <w:rsid w:val="001B31FC"/>
    <w:rsid w:val="001C0D1A"/>
    <w:rsid w:val="001F3418"/>
    <w:rsid w:val="0021046F"/>
    <w:rsid w:val="00215C54"/>
    <w:rsid w:val="0023161C"/>
    <w:rsid w:val="00252E3B"/>
    <w:rsid w:val="002536C8"/>
    <w:rsid w:val="00254D6B"/>
    <w:rsid w:val="002B4BD8"/>
    <w:rsid w:val="002E1131"/>
    <w:rsid w:val="002E22E2"/>
    <w:rsid w:val="002E791E"/>
    <w:rsid w:val="002F70EA"/>
    <w:rsid w:val="00314DC5"/>
    <w:rsid w:val="0033755A"/>
    <w:rsid w:val="0035691C"/>
    <w:rsid w:val="003A4DA5"/>
    <w:rsid w:val="003A7B55"/>
    <w:rsid w:val="003B0928"/>
    <w:rsid w:val="003C76E8"/>
    <w:rsid w:val="003E0FA4"/>
    <w:rsid w:val="003F31C5"/>
    <w:rsid w:val="004010AC"/>
    <w:rsid w:val="00444B66"/>
    <w:rsid w:val="0044552E"/>
    <w:rsid w:val="00463CA6"/>
    <w:rsid w:val="00466493"/>
    <w:rsid w:val="00472B58"/>
    <w:rsid w:val="00473EA2"/>
    <w:rsid w:val="00490541"/>
    <w:rsid w:val="00492F34"/>
    <w:rsid w:val="00494ED5"/>
    <w:rsid w:val="004A2D7B"/>
    <w:rsid w:val="004B6256"/>
    <w:rsid w:val="004C73D5"/>
    <w:rsid w:val="004E4D0C"/>
    <w:rsid w:val="005028C6"/>
    <w:rsid w:val="0052196F"/>
    <w:rsid w:val="005471C5"/>
    <w:rsid w:val="00551951"/>
    <w:rsid w:val="005562D6"/>
    <w:rsid w:val="00566F00"/>
    <w:rsid w:val="00582FB0"/>
    <w:rsid w:val="00586984"/>
    <w:rsid w:val="005A0AD4"/>
    <w:rsid w:val="005A4621"/>
    <w:rsid w:val="005B257D"/>
    <w:rsid w:val="005B3E20"/>
    <w:rsid w:val="005B3E52"/>
    <w:rsid w:val="005E075B"/>
    <w:rsid w:val="00610AE5"/>
    <w:rsid w:val="00613C7C"/>
    <w:rsid w:val="006162E0"/>
    <w:rsid w:val="00631AD0"/>
    <w:rsid w:val="006457A5"/>
    <w:rsid w:val="0067117A"/>
    <w:rsid w:val="006924C7"/>
    <w:rsid w:val="0069562D"/>
    <w:rsid w:val="006A448D"/>
    <w:rsid w:val="006B0396"/>
    <w:rsid w:val="0072647C"/>
    <w:rsid w:val="00727B3A"/>
    <w:rsid w:val="00730020"/>
    <w:rsid w:val="00776047"/>
    <w:rsid w:val="007915C2"/>
    <w:rsid w:val="007A71E0"/>
    <w:rsid w:val="007B2C40"/>
    <w:rsid w:val="007B401F"/>
    <w:rsid w:val="007B7C0C"/>
    <w:rsid w:val="007D6FC9"/>
    <w:rsid w:val="007E4721"/>
    <w:rsid w:val="008009AA"/>
    <w:rsid w:val="0086024B"/>
    <w:rsid w:val="0086599C"/>
    <w:rsid w:val="008A63C4"/>
    <w:rsid w:val="008B4500"/>
    <w:rsid w:val="008D2810"/>
    <w:rsid w:val="008E3CD9"/>
    <w:rsid w:val="008F7A08"/>
    <w:rsid w:val="00903F26"/>
    <w:rsid w:val="00945E51"/>
    <w:rsid w:val="00946413"/>
    <w:rsid w:val="00970996"/>
    <w:rsid w:val="009A1AA0"/>
    <w:rsid w:val="009B1A3B"/>
    <w:rsid w:val="009B6770"/>
    <w:rsid w:val="009D02DA"/>
    <w:rsid w:val="009E22FD"/>
    <w:rsid w:val="009E5337"/>
    <w:rsid w:val="00A05229"/>
    <w:rsid w:val="00A06DFB"/>
    <w:rsid w:val="00A154AD"/>
    <w:rsid w:val="00A218E9"/>
    <w:rsid w:val="00A27A39"/>
    <w:rsid w:val="00A3623A"/>
    <w:rsid w:val="00A47D03"/>
    <w:rsid w:val="00A742A4"/>
    <w:rsid w:val="00A77F9B"/>
    <w:rsid w:val="00A851D1"/>
    <w:rsid w:val="00AB7CC0"/>
    <w:rsid w:val="00AD0A51"/>
    <w:rsid w:val="00AD5CB5"/>
    <w:rsid w:val="00AE7735"/>
    <w:rsid w:val="00B115C8"/>
    <w:rsid w:val="00B143F9"/>
    <w:rsid w:val="00B30F47"/>
    <w:rsid w:val="00B53F30"/>
    <w:rsid w:val="00B56FB5"/>
    <w:rsid w:val="00B64523"/>
    <w:rsid w:val="00B95F4E"/>
    <w:rsid w:val="00BB4E9F"/>
    <w:rsid w:val="00BC6A7C"/>
    <w:rsid w:val="00BD3490"/>
    <w:rsid w:val="00BD67FD"/>
    <w:rsid w:val="00C050A9"/>
    <w:rsid w:val="00C561FA"/>
    <w:rsid w:val="00C76D60"/>
    <w:rsid w:val="00CA0EA5"/>
    <w:rsid w:val="00CC14C5"/>
    <w:rsid w:val="00CD7306"/>
    <w:rsid w:val="00D01096"/>
    <w:rsid w:val="00D01B6C"/>
    <w:rsid w:val="00D255C4"/>
    <w:rsid w:val="00D37F29"/>
    <w:rsid w:val="00D52438"/>
    <w:rsid w:val="00D531EB"/>
    <w:rsid w:val="00D74A3D"/>
    <w:rsid w:val="00D8584E"/>
    <w:rsid w:val="00D9697A"/>
    <w:rsid w:val="00DA27AC"/>
    <w:rsid w:val="00DA3808"/>
    <w:rsid w:val="00DF3347"/>
    <w:rsid w:val="00E011B1"/>
    <w:rsid w:val="00E07EA7"/>
    <w:rsid w:val="00E64595"/>
    <w:rsid w:val="00E70915"/>
    <w:rsid w:val="00E946E6"/>
    <w:rsid w:val="00EB1C17"/>
    <w:rsid w:val="00F1132C"/>
    <w:rsid w:val="00F37D75"/>
    <w:rsid w:val="00F9485E"/>
    <w:rsid w:val="00F9501D"/>
    <w:rsid w:val="00F95712"/>
    <w:rsid w:val="00F97977"/>
    <w:rsid w:val="00FD2E3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8A97"/>
  <w15:docId w15:val="{DAA8345A-C9A6-456F-8CC8-A0B9B1E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B1A3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B1A3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B1A3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B1A3B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10"/>
    <w:rsid w:val="009B1A3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ідзаголовок Знак"/>
    <w:link w:val="a5"/>
    <w:uiPriority w:val="11"/>
    <w:rsid w:val="009B1A3B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B1A3B"/>
    <w:rPr>
      <w:b/>
      <w:bCs/>
    </w:rPr>
  </w:style>
  <w:style w:type="character" w:styleId="a8">
    <w:name w:val="Emphasis"/>
    <w:uiPriority w:val="20"/>
    <w:qFormat/>
    <w:rsid w:val="009B1A3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/>
    </w:rPr>
  </w:style>
  <w:style w:type="character" w:styleId="af0">
    <w:name w:val="Intense Emphasis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uiPriority w:val="32"/>
    <w:qFormat/>
    <w:rsid w:val="009B1A3B"/>
    <w:rPr>
      <w:b/>
      <w:sz w:val="24"/>
      <w:u w:val="single"/>
    </w:rPr>
  </w:style>
  <w:style w:type="character" w:styleId="af3">
    <w:name w:val="Book Title"/>
    <w:uiPriority w:val="33"/>
    <w:qFormat/>
    <w:rsid w:val="009B1A3B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uiPriority w:val="99"/>
    <w:unhideWhenUsed/>
    <w:rsid w:val="004C73D5"/>
    <w:rPr>
      <w:color w:val="0000FF"/>
      <w:u w:val="single"/>
    </w:rPr>
  </w:style>
  <w:style w:type="character" w:customStyle="1" w:styleId="11">
    <w:name w:val="Основний текст Знак1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uiPriority w:val="99"/>
    <w:semiHidden/>
    <w:rsid w:val="009D02DA"/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B0396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sid w:val="006B0396"/>
    <w:rPr>
      <w:sz w:val="20"/>
      <w:szCs w:val="20"/>
    </w:rPr>
  </w:style>
  <w:style w:type="character" w:styleId="afa">
    <w:name w:val="endnote reference"/>
    <w:uiPriority w:val="99"/>
    <w:semiHidden/>
    <w:unhideWhenUsed/>
    <w:rsid w:val="006B0396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072E04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  <w:style w:type="character" w:customStyle="1" w:styleId="fontstyle01">
    <w:name w:val="fontstyle01"/>
    <w:basedOn w:val="a0"/>
    <w:rsid w:val="00114E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0D46-2E48-4D76-B247-F89DF0B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5619</Words>
  <Characters>3203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8805</CharactersWithSpaces>
  <SharedDoc>false</SharedDoc>
  <HLinks>
    <vt:vector size="12" baseType="variant"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http://martynivka.gromada.org.ua/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mailto:martynovkatsnap@ukr.net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cnap-Boss</cp:lastModifiedBy>
  <cp:revision>6</cp:revision>
  <cp:lastPrinted>2025-12-11T09:06:00Z</cp:lastPrinted>
  <dcterms:created xsi:type="dcterms:W3CDTF">2025-12-11T12:30:00Z</dcterms:created>
  <dcterms:modified xsi:type="dcterms:W3CDTF">2025-12-11T12:41:00Z</dcterms:modified>
</cp:coreProperties>
</file>