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Наказ Головного управління Держгеокадастру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56CF111F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1F0B35">
        <w:rPr>
          <w:rFonts w:ascii="Times New Roman" w:hAnsi="Times New Roman"/>
          <w:b/>
          <w:sz w:val="28"/>
          <w:szCs w:val="28"/>
          <w:u w:val="single"/>
        </w:rPr>
        <w:t>1254</w:t>
      </w:r>
    </w:p>
    <w:p w14:paraId="46BBDF6A" w14:textId="3076C3D7" w:rsidR="001F0B35" w:rsidRDefault="001F0B35" w:rsidP="001F0B3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F0B35">
        <w:rPr>
          <w:rFonts w:ascii="Times New Roman" w:hAnsi="Times New Roman"/>
          <w:b/>
          <w:sz w:val="28"/>
          <w:szCs w:val="28"/>
          <w:u w:val="single"/>
        </w:rPr>
        <w:t>НАДАННЯ ДОВІДКИ ПРО ОСІБ, ЯКІ ОТРИМАЛИ ДОСТУП ДО ІНФОРМАЦІЇ ПРО СУБ’ЄКТА РЕЧОВОГО ПРАВА У ДЕРЖАВНОМУ ЗЕМЕЛЬНОМУ КАДАСТРІ</w:t>
      </w:r>
    </w:p>
    <w:p w14:paraId="6EB88B90" w14:textId="00E75BDD" w:rsidR="00281686" w:rsidRPr="00281686" w:rsidRDefault="00C66A97" w:rsidP="001F0B35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Держгеокадастру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378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03979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378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>с. Мартинівка, вул. Богдана Хмельницького, 5</w:t>
            </w:r>
          </w:p>
        </w:tc>
      </w:tr>
      <w:tr w:rsidR="00C66A97" w:rsidRPr="005D54D1" w14:paraId="35521FA5" w14:textId="77777777" w:rsidTr="00D03979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378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03979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378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81686" w:rsidRPr="005D54D1" w14:paraId="174FB4F9" w14:textId="77777777" w:rsidTr="00D03979">
        <w:trPr>
          <w:trHeight w:val="619"/>
        </w:trPr>
        <w:tc>
          <w:tcPr>
            <w:tcW w:w="575" w:type="dxa"/>
          </w:tcPr>
          <w:p w14:paraId="7DB09528" w14:textId="66E454B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654" w:type="dxa"/>
          </w:tcPr>
          <w:p w14:paraId="7A5708F4" w14:textId="7777777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378" w:type="dxa"/>
          </w:tcPr>
          <w:p w14:paraId="3CE61640" w14:textId="77777777" w:rsidR="00906186" w:rsidRDefault="00CC7437" w:rsidP="00281686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Стаття 3</w:t>
            </w:r>
            <w:r w:rsidR="00906186">
              <w:rPr>
                <w:rFonts w:ascii="Times New Roman" w:hAnsi="Times New Roman"/>
              </w:rPr>
              <w:t>6</w:t>
            </w:r>
            <w:r w:rsidRPr="00CC7437">
              <w:rPr>
                <w:rFonts w:ascii="Times New Roman" w:hAnsi="Times New Roman"/>
              </w:rPr>
              <w:t xml:space="preserve"> Закону України «Про Державний земельний кадастр», </w:t>
            </w:r>
          </w:p>
          <w:p w14:paraId="42774C5F" w14:textId="77777777" w:rsidR="00906186" w:rsidRDefault="00CC7437" w:rsidP="00281686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 xml:space="preserve">Закон України «Про адміністративну процедуру», </w:t>
            </w:r>
          </w:p>
          <w:p w14:paraId="4649C678" w14:textId="4769D759" w:rsidR="00281686" w:rsidRPr="005D54D1" w:rsidRDefault="00CC7437" w:rsidP="00281686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стаття 17</w:t>
            </w:r>
            <w:r w:rsidRPr="00CC7437">
              <w:rPr>
                <w:rFonts w:ascii="Times New Roman" w:hAnsi="Times New Roman"/>
                <w:vertAlign w:val="superscript"/>
              </w:rPr>
              <w:t>2</w:t>
            </w:r>
            <w:r w:rsidRPr="00CC7437">
              <w:rPr>
                <w:rFonts w:ascii="Times New Roman" w:hAnsi="Times New Roman"/>
              </w:rPr>
              <w:t xml:space="preserve"> Земельного кодексу України</w:t>
            </w:r>
          </w:p>
        </w:tc>
      </w:tr>
      <w:tr w:rsidR="00281686" w:rsidRPr="005D54D1" w14:paraId="736D7046" w14:textId="77777777" w:rsidTr="00D03979">
        <w:trPr>
          <w:trHeight w:val="597"/>
        </w:trPr>
        <w:tc>
          <w:tcPr>
            <w:tcW w:w="575" w:type="dxa"/>
          </w:tcPr>
          <w:p w14:paraId="67DE83F4" w14:textId="5BECB828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791D20" w14:textId="280B6563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436E1881" w14:textId="77777777" w:rsidR="00906186" w:rsidRPr="00906186" w:rsidRDefault="00906186" w:rsidP="00906186">
            <w:pPr>
              <w:rPr>
                <w:rFonts w:ascii="Times New Roman" w:hAnsi="Times New Roman"/>
              </w:rPr>
            </w:pPr>
            <w:r w:rsidRPr="00906186">
              <w:rPr>
                <w:rFonts w:ascii="Times New Roman" w:hAnsi="Times New Roman"/>
              </w:rPr>
              <w:t>Пункти 165, 166, 167, 1671, 168, 198, 199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7512F5D2" w14:textId="71AEF336" w:rsidR="00281686" w:rsidRPr="005D54D1" w:rsidRDefault="00906186" w:rsidP="00906186">
            <w:pPr>
              <w:rPr>
                <w:rFonts w:ascii="Times New Roman" w:hAnsi="Times New Roman"/>
              </w:rPr>
            </w:pPr>
            <w:r w:rsidRPr="00906186">
              <w:rPr>
                <w:rFonts w:ascii="Times New Roman" w:hAnsi="Times New Roman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4C73D5" w:rsidRPr="005D54D1" w14:paraId="25450968" w14:textId="77777777" w:rsidTr="00D03979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D03979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Акти місцевих органів виконавчої влади/органів </w:t>
            </w:r>
            <w:r w:rsidRPr="005D54D1">
              <w:rPr>
                <w:rFonts w:ascii="Times New Roman" w:hAnsi="Times New Roman"/>
              </w:rPr>
              <w:lastRenderedPageBreak/>
              <w:t>місцевого самоврядування</w:t>
            </w:r>
          </w:p>
        </w:tc>
        <w:tc>
          <w:tcPr>
            <w:tcW w:w="6378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D03979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14:paraId="6ABC215D" w14:textId="31D48E0E" w:rsidR="00BD3490" w:rsidRPr="005D54D1" w:rsidRDefault="006D3EA2" w:rsidP="005D66EE">
            <w:pPr>
              <w:ind w:firstLine="340"/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A742A4" w:rsidRPr="005D54D1" w14:paraId="6CF79958" w14:textId="77777777" w:rsidTr="00D03979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78" w:type="dxa"/>
          </w:tcPr>
          <w:p w14:paraId="213B93EF" w14:textId="77777777" w:rsidR="006D3EA2" w:rsidRPr="006D3EA2" w:rsidRDefault="006D3EA2" w:rsidP="006D3EA2">
            <w:pPr>
              <w:ind w:left="360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1. 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  від 17 жовтня 2012 р. № 1051 (форма заяви додається)*.</w:t>
            </w:r>
          </w:p>
          <w:p w14:paraId="2483BD08" w14:textId="05A6EEC0" w:rsidR="006818CA" w:rsidRPr="009C0FA8" w:rsidRDefault="006D3EA2" w:rsidP="006D3EA2">
            <w:pPr>
              <w:ind w:left="360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A7B55" w:rsidRPr="005D54D1" w14:paraId="15F5040D" w14:textId="77777777" w:rsidTr="00D03979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8" w:type="dxa"/>
          </w:tcPr>
          <w:p w14:paraId="0FDFFE9E" w14:textId="77777777" w:rsidR="006D3EA2" w:rsidRPr="006D3EA2" w:rsidRDefault="006D3EA2" w:rsidP="006D3EA2">
            <w:pPr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1631F79D" w14:textId="1F37BA95" w:rsidR="007915C2" w:rsidRPr="005D54D1" w:rsidRDefault="006D3EA2" w:rsidP="006D3EA2">
            <w:pPr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7915C2" w:rsidRPr="005D54D1" w14:paraId="033E9107" w14:textId="77777777" w:rsidTr="00D03979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378" w:type="dxa"/>
          </w:tcPr>
          <w:p w14:paraId="5BDE891A" w14:textId="24F6223B" w:rsidR="007B2C40" w:rsidRPr="005D54D1" w:rsidRDefault="00CC7437" w:rsidP="00251569">
            <w:pPr>
              <w:rPr>
                <w:rFonts w:ascii="Times New Roman" w:hAnsi="Times New Roman"/>
              </w:rPr>
            </w:pPr>
            <w:r w:rsidRPr="00CC7437">
              <w:rPr>
                <w:rFonts w:ascii="Times New Roman" w:hAnsi="Times New Roman"/>
              </w:rPr>
              <w:t>Безоплатно</w:t>
            </w:r>
          </w:p>
        </w:tc>
      </w:tr>
      <w:tr w:rsidR="00D03979" w:rsidRPr="005D54D1" w14:paraId="4FC66E02" w14:textId="77777777" w:rsidTr="00D03979">
        <w:trPr>
          <w:trHeight w:val="522"/>
        </w:trPr>
        <w:tc>
          <w:tcPr>
            <w:tcW w:w="575" w:type="dxa"/>
          </w:tcPr>
          <w:p w14:paraId="3982B90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14:paraId="5BFE8F25" w14:textId="3216E1CD" w:rsidR="00D03979" w:rsidRPr="005D54D1" w:rsidRDefault="006D3EA2" w:rsidP="00D03979">
            <w:pPr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Протягом 10 робочих днів з дня реєстрації відповідної заяви у територіальному органі Держгеокадастру</w:t>
            </w:r>
          </w:p>
        </w:tc>
      </w:tr>
      <w:tr w:rsidR="00D03979" w:rsidRPr="005D54D1" w14:paraId="76895B13" w14:textId="77777777" w:rsidTr="00D03979">
        <w:trPr>
          <w:trHeight w:val="976"/>
        </w:trPr>
        <w:tc>
          <w:tcPr>
            <w:tcW w:w="575" w:type="dxa"/>
          </w:tcPr>
          <w:p w14:paraId="0A772E5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70F5E63B" w14:textId="71B36B57" w:rsidR="006D3EA2" w:rsidRPr="006D3EA2" w:rsidRDefault="006D3EA2" w:rsidP="006D3EA2">
            <w:pPr>
              <w:pStyle w:val="aa"/>
              <w:numPr>
                <w:ilvl w:val="0"/>
                <w:numId w:val="5"/>
              </w:numPr>
              <w:jc w:val="both"/>
              <w:rPr>
                <w:rStyle w:val="fontstyle01"/>
              </w:rPr>
            </w:pPr>
            <w:r w:rsidRPr="006D3EA2">
              <w:rPr>
                <w:rStyle w:val="fontstyle01"/>
              </w:rPr>
              <w:t xml:space="preserve"> У Державному земельному кадастрі відсутні запитувані відомості.</w:t>
            </w:r>
          </w:p>
          <w:p w14:paraId="248E69E9" w14:textId="099D2DF9" w:rsidR="006D3EA2" w:rsidRPr="006D3EA2" w:rsidRDefault="006D3EA2" w:rsidP="006D3EA2">
            <w:pPr>
              <w:pStyle w:val="aa"/>
              <w:numPr>
                <w:ilvl w:val="0"/>
                <w:numId w:val="5"/>
              </w:numPr>
              <w:jc w:val="both"/>
              <w:rPr>
                <w:rStyle w:val="fontstyle01"/>
              </w:rPr>
            </w:pPr>
            <w:r w:rsidRPr="006D3EA2">
              <w:rPr>
                <w:rStyle w:val="fontstyle01"/>
              </w:rPr>
              <w:t xml:space="preserve">Із заявою про надання відомостей з Державного земельного кадастру звернулася неналежна особа (на отримання відомостей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 мають право: суб’єкти речових прав на земельні ділянки; органи </w:t>
            </w:r>
            <w:r w:rsidRPr="006D3EA2">
              <w:rPr>
                <w:rStyle w:val="fontstyle01"/>
              </w:rPr>
              <w:lastRenderedPageBreak/>
              <w:t>державної влади та органи місцевого самоврядування для реалізації своїх повноважень, визначених законом).</w:t>
            </w:r>
          </w:p>
          <w:p w14:paraId="4E358703" w14:textId="7330445C" w:rsidR="00D03979" w:rsidRPr="005D54D1" w:rsidRDefault="006D3EA2" w:rsidP="006D3EA2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6D3EA2">
              <w:rPr>
                <w:rStyle w:val="fontstyle01"/>
              </w:rPr>
              <w:t>Документи подано не в повному обсязі (відсутність документа, що підтверджує повноваження діяти від імені заявника)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D03979" w:rsidRPr="005D54D1" w14:paraId="03F92F81" w14:textId="77777777" w:rsidTr="00D03979">
        <w:trPr>
          <w:trHeight w:val="946"/>
        </w:trPr>
        <w:tc>
          <w:tcPr>
            <w:tcW w:w="575" w:type="dxa"/>
          </w:tcPr>
          <w:p w14:paraId="0E77D1B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54" w:type="dxa"/>
          </w:tcPr>
          <w:p w14:paraId="25B4AC27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378" w:type="dxa"/>
          </w:tcPr>
          <w:p w14:paraId="1F3D0BC4" w14:textId="46D79726" w:rsidR="00D03979" w:rsidRPr="00B17716" w:rsidRDefault="006D3EA2" w:rsidP="005D66EE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з Державного земельного кадастру</w:t>
            </w:r>
          </w:p>
        </w:tc>
      </w:tr>
      <w:tr w:rsidR="00D03979" w:rsidRPr="005D54D1" w14:paraId="3F97949D" w14:textId="77777777" w:rsidTr="00D03979">
        <w:trPr>
          <w:trHeight w:val="693"/>
        </w:trPr>
        <w:tc>
          <w:tcPr>
            <w:tcW w:w="575" w:type="dxa"/>
          </w:tcPr>
          <w:p w14:paraId="09A01E6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13.</w:t>
            </w:r>
          </w:p>
        </w:tc>
        <w:tc>
          <w:tcPr>
            <w:tcW w:w="2654" w:type="dxa"/>
          </w:tcPr>
          <w:p w14:paraId="5EBB84F9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378" w:type="dxa"/>
          </w:tcPr>
          <w:p w14:paraId="5AE934B3" w14:textId="60E60865" w:rsidR="00D03979" w:rsidRPr="005D54D1" w:rsidRDefault="006D3EA2" w:rsidP="005D66EE">
            <w:pPr>
              <w:jc w:val="both"/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                         з Державного земельного кадастру надсилаються заявникові       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D03979" w:rsidRPr="005D54D1" w14:paraId="7E46D602" w14:textId="77777777" w:rsidTr="00D03979">
        <w:trPr>
          <w:trHeight w:val="693"/>
        </w:trPr>
        <w:tc>
          <w:tcPr>
            <w:tcW w:w="575" w:type="dxa"/>
          </w:tcPr>
          <w:p w14:paraId="0FA1584F" w14:textId="369892A4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378" w:type="dxa"/>
          </w:tcPr>
          <w:p w14:paraId="21316044" w14:textId="28F3B937" w:rsidR="00D03979" w:rsidRPr="005D54D1" w:rsidRDefault="006D3EA2" w:rsidP="00CC7437">
            <w:pPr>
              <w:rPr>
                <w:rFonts w:ascii="Times New Roman" w:hAnsi="Times New Roman"/>
              </w:rPr>
            </w:pPr>
            <w:r w:rsidRPr="006D3EA2">
              <w:rPr>
                <w:rFonts w:ascii="Times New Roman" w:hAnsi="Times New Roman"/>
              </w:rPr>
              <w:t>* Форму заяви про надання відомостей з Державного земельного кадастру наведено в додатку до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C2417"/>
    <w:rsid w:val="000D27B6"/>
    <w:rsid w:val="000D706E"/>
    <w:rsid w:val="000E760B"/>
    <w:rsid w:val="000F3CA6"/>
    <w:rsid w:val="000F6276"/>
    <w:rsid w:val="001076A0"/>
    <w:rsid w:val="00122BD6"/>
    <w:rsid w:val="00162D25"/>
    <w:rsid w:val="001762A5"/>
    <w:rsid w:val="0018646A"/>
    <w:rsid w:val="001874F0"/>
    <w:rsid w:val="001B226C"/>
    <w:rsid w:val="001C0D1A"/>
    <w:rsid w:val="001F0B35"/>
    <w:rsid w:val="001F3418"/>
    <w:rsid w:val="001F3CC2"/>
    <w:rsid w:val="00206C08"/>
    <w:rsid w:val="00215C54"/>
    <w:rsid w:val="00223E29"/>
    <w:rsid w:val="0023161C"/>
    <w:rsid w:val="00251569"/>
    <w:rsid w:val="00252E3B"/>
    <w:rsid w:val="002536C8"/>
    <w:rsid w:val="00281686"/>
    <w:rsid w:val="002C73DF"/>
    <w:rsid w:val="002E1131"/>
    <w:rsid w:val="002E22E2"/>
    <w:rsid w:val="002E791E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54D1"/>
    <w:rsid w:val="005D6672"/>
    <w:rsid w:val="005D66EE"/>
    <w:rsid w:val="00606C9A"/>
    <w:rsid w:val="00613C7C"/>
    <w:rsid w:val="006162E0"/>
    <w:rsid w:val="00631AD0"/>
    <w:rsid w:val="006457A5"/>
    <w:rsid w:val="00652931"/>
    <w:rsid w:val="0066697F"/>
    <w:rsid w:val="0067117A"/>
    <w:rsid w:val="00677583"/>
    <w:rsid w:val="006818CA"/>
    <w:rsid w:val="006924C7"/>
    <w:rsid w:val="0069562D"/>
    <w:rsid w:val="006A448D"/>
    <w:rsid w:val="006D3EA2"/>
    <w:rsid w:val="006E76C5"/>
    <w:rsid w:val="0071383F"/>
    <w:rsid w:val="0072647C"/>
    <w:rsid w:val="00727B3A"/>
    <w:rsid w:val="00730020"/>
    <w:rsid w:val="00744B8C"/>
    <w:rsid w:val="007473CC"/>
    <w:rsid w:val="007804B9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06186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BF3B2C"/>
    <w:rsid w:val="00C050A9"/>
    <w:rsid w:val="00C502AD"/>
    <w:rsid w:val="00C54668"/>
    <w:rsid w:val="00C66A97"/>
    <w:rsid w:val="00C67104"/>
    <w:rsid w:val="00CC14C5"/>
    <w:rsid w:val="00CC7437"/>
    <w:rsid w:val="00D01096"/>
    <w:rsid w:val="00D01B6C"/>
    <w:rsid w:val="00D03979"/>
    <w:rsid w:val="00D52438"/>
    <w:rsid w:val="00D531EB"/>
    <w:rsid w:val="00D74A3D"/>
    <w:rsid w:val="00D9697A"/>
    <w:rsid w:val="00DA3808"/>
    <w:rsid w:val="00DA624B"/>
    <w:rsid w:val="00DB4267"/>
    <w:rsid w:val="00DE5351"/>
    <w:rsid w:val="00DF3347"/>
    <w:rsid w:val="00E07EA7"/>
    <w:rsid w:val="00E64595"/>
    <w:rsid w:val="00E82B83"/>
    <w:rsid w:val="00E946E6"/>
    <w:rsid w:val="00ED2BAB"/>
    <w:rsid w:val="00F01224"/>
    <w:rsid w:val="00F8139C"/>
    <w:rsid w:val="00F9485E"/>
    <w:rsid w:val="00F9501D"/>
    <w:rsid w:val="00F95712"/>
    <w:rsid w:val="00F97977"/>
    <w:rsid w:val="00FB50F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3859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5</cp:revision>
  <cp:lastPrinted>2025-12-15T09:13:00Z</cp:lastPrinted>
  <dcterms:created xsi:type="dcterms:W3CDTF">2025-12-15T09:26:00Z</dcterms:created>
  <dcterms:modified xsi:type="dcterms:W3CDTF">2025-12-15T09:31:00Z</dcterms:modified>
</cp:coreProperties>
</file>