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F6" w:rsidRPr="008D2090" w:rsidRDefault="002B3FF6" w:rsidP="002B3FF6">
      <w:pPr>
        <w:ind w:left="6379"/>
        <w:rPr>
          <w:rFonts w:ascii="Times New Roman" w:hAnsi="Times New Roman"/>
          <w:color w:val="000000" w:themeColor="text1"/>
          <w:sz w:val="28"/>
          <w:szCs w:val="28"/>
          <w:lang w:val="uk-UA" w:eastAsia="uk-UA"/>
        </w:rPr>
      </w:pPr>
      <w:r w:rsidRPr="008D2090">
        <w:rPr>
          <w:rFonts w:ascii="Times New Roman" w:hAnsi="Times New Roman"/>
          <w:color w:val="000000" w:themeColor="text1"/>
          <w:sz w:val="28"/>
          <w:szCs w:val="28"/>
          <w:lang w:val="uk-UA" w:eastAsia="uk-UA"/>
        </w:rPr>
        <w:t>ЗАТВЕРДЖЕНО</w:t>
      </w:r>
    </w:p>
    <w:p w:rsidR="002B3FF6" w:rsidRPr="008D2090" w:rsidRDefault="002B3FF6" w:rsidP="002B3FF6">
      <w:pPr>
        <w:ind w:left="6379"/>
        <w:rPr>
          <w:rFonts w:ascii="Times New Roman" w:hAnsi="Times New Roman"/>
          <w:color w:val="000000" w:themeColor="text1"/>
          <w:sz w:val="28"/>
          <w:szCs w:val="28"/>
          <w:lang w:val="uk-UA" w:eastAsia="uk-UA"/>
        </w:rPr>
      </w:pPr>
      <w:r w:rsidRPr="008D2090">
        <w:rPr>
          <w:rFonts w:ascii="Times New Roman" w:hAnsi="Times New Roman"/>
          <w:color w:val="000000" w:themeColor="text1"/>
          <w:sz w:val="28"/>
          <w:szCs w:val="28"/>
          <w:lang w:val="uk-UA" w:eastAsia="uk-UA"/>
        </w:rPr>
        <w:t xml:space="preserve">Наказ відділу містобудування та  архітектури Полтавської </w:t>
      </w:r>
    </w:p>
    <w:p w:rsidR="002B3FF6" w:rsidRPr="008D2090" w:rsidRDefault="002B3FF6" w:rsidP="002B3FF6">
      <w:pPr>
        <w:ind w:left="6379"/>
        <w:rPr>
          <w:rFonts w:ascii="Times New Roman" w:hAnsi="Times New Roman"/>
          <w:color w:val="000000" w:themeColor="text1"/>
          <w:sz w:val="28"/>
          <w:szCs w:val="28"/>
          <w:lang w:val="uk-UA" w:eastAsia="uk-UA"/>
        </w:rPr>
      </w:pPr>
      <w:r w:rsidRPr="008D2090">
        <w:rPr>
          <w:rFonts w:ascii="Times New Roman" w:hAnsi="Times New Roman"/>
          <w:color w:val="000000" w:themeColor="text1"/>
          <w:sz w:val="28"/>
          <w:szCs w:val="28"/>
          <w:lang w:val="uk-UA" w:eastAsia="uk-UA"/>
        </w:rPr>
        <w:t>районної військової адміністрації</w:t>
      </w:r>
    </w:p>
    <w:p w:rsidR="002B3FF6" w:rsidRPr="00A0686D" w:rsidRDefault="002B3FF6" w:rsidP="002B3FF6">
      <w:pPr>
        <w:ind w:left="6379"/>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від</w:t>
      </w:r>
      <w:r w:rsidRPr="006764EB">
        <w:rPr>
          <w:rFonts w:ascii="Times New Roman" w:hAnsi="Times New Roman"/>
          <w:color w:val="000000" w:themeColor="text1"/>
          <w:sz w:val="28"/>
          <w:szCs w:val="28"/>
          <w:lang w:val="uk-UA" w:eastAsia="uk-UA"/>
        </w:rPr>
        <w:t xml:space="preserve"> 17.05.</w:t>
      </w:r>
      <w:r>
        <w:rPr>
          <w:rFonts w:ascii="Times New Roman" w:hAnsi="Times New Roman"/>
          <w:color w:val="000000" w:themeColor="text1"/>
          <w:sz w:val="28"/>
          <w:szCs w:val="28"/>
          <w:lang w:val="uk-UA" w:eastAsia="uk-UA"/>
        </w:rPr>
        <w:t>2023</w:t>
      </w:r>
      <w:r w:rsidRPr="008D2090">
        <w:rPr>
          <w:rFonts w:ascii="Times New Roman" w:hAnsi="Times New Roman"/>
          <w:color w:val="000000" w:themeColor="text1"/>
          <w:sz w:val="28"/>
          <w:szCs w:val="28"/>
          <w:lang w:val="uk-UA" w:eastAsia="uk-UA"/>
        </w:rPr>
        <w:t xml:space="preserve"> № </w:t>
      </w:r>
      <w:r>
        <w:rPr>
          <w:rFonts w:ascii="Times New Roman" w:hAnsi="Times New Roman"/>
          <w:color w:val="000000" w:themeColor="text1"/>
          <w:sz w:val="28"/>
          <w:szCs w:val="28"/>
          <w:lang w:val="uk-UA" w:eastAsia="uk-UA"/>
        </w:rPr>
        <w:t>6</w:t>
      </w:r>
    </w:p>
    <w:p w:rsidR="0088106E" w:rsidRPr="008D2090" w:rsidRDefault="0088106E" w:rsidP="009B1A3B">
      <w:pPr>
        <w:rPr>
          <w:rFonts w:ascii="Times New Roman" w:hAnsi="Times New Roman"/>
          <w:b/>
          <w:sz w:val="28"/>
          <w:szCs w:val="28"/>
          <w:lang w:val="uk-UA"/>
        </w:rPr>
      </w:pPr>
    </w:p>
    <w:p w:rsidR="009B1A3B" w:rsidRPr="008D2090" w:rsidRDefault="009B1A3B" w:rsidP="005151DD">
      <w:pPr>
        <w:jc w:val="center"/>
        <w:rPr>
          <w:rFonts w:ascii="Times New Roman" w:hAnsi="Times New Roman"/>
          <w:b/>
          <w:sz w:val="28"/>
          <w:szCs w:val="28"/>
          <w:lang w:val="uk-UA"/>
        </w:rPr>
      </w:pPr>
      <w:r w:rsidRPr="008D2090">
        <w:rPr>
          <w:rFonts w:ascii="Times New Roman" w:hAnsi="Times New Roman"/>
          <w:b/>
          <w:sz w:val="28"/>
          <w:szCs w:val="28"/>
          <w:lang w:val="uk-UA"/>
        </w:rPr>
        <w:t>ІНФОРМАЦІЙНА КАРТКА АДМІНІСТРАТИВНОЇ ПОСЛУГИ</w:t>
      </w:r>
    </w:p>
    <w:p w:rsidR="002D3CAA" w:rsidRPr="008D2090" w:rsidRDefault="009B1A3B" w:rsidP="005151DD">
      <w:pPr>
        <w:jc w:val="center"/>
        <w:rPr>
          <w:rFonts w:ascii="Times New Roman" w:hAnsi="Times New Roman"/>
          <w:sz w:val="28"/>
          <w:szCs w:val="28"/>
          <w:u w:val="single"/>
          <w:lang w:val="uk-UA"/>
        </w:rPr>
      </w:pPr>
      <w:r w:rsidRPr="008D2090">
        <w:rPr>
          <w:rFonts w:ascii="Times New Roman" w:hAnsi="Times New Roman"/>
          <w:b/>
          <w:sz w:val="28"/>
          <w:szCs w:val="28"/>
          <w:u w:val="single"/>
          <w:lang w:val="uk-UA"/>
        </w:rPr>
        <w:t>0</w:t>
      </w:r>
      <w:r w:rsidR="00D05215">
        <w:rPr>
          <w:rFonts w:ascii="Times New Roman" w:hAnsi="Times New Roman"/>
          <w:b/>
          <w:sz w:val="28"/>
          <w:szCs w:val="28"/>
          <w:u w:val="single"/>
          <w:lang w:val="uk-UA"/>
        </w:rPr>
        <w:t>1186</w:t>
      </w:r>
    </w:p>
    <w:p w:rsidR="009B1A3B" w:rsidRPr="008D2090" w:rsidRDefault="001F166F" w:rsidP="005151DD">
      <w:pPr>
        <w:jc w:val="center"/>
        <w:rPr>
          <w:rFonts w:ascii="Times New Roman" w:hAnsi="Times New Roman"/>
          <w:b/>
          <w:sz w:val="28"/>
          <w:szCs w:val="28"/>
          <w:lang w:val="uk-UA"/>
        </w:rPr>
      </w:pPr>
      <w:r w:rsidRPr="001F166F">
        <w:rPr>
          <w:rFonts w:ascii="Times New Roman" w:hAnsi="Times New Roman"/>
          <w:b/>
          <w:sz w:val="28"/>
          <w:szCs w:val="28"/>
          <w:u w:val="single"/>
          <w:lang w:val="uk-UA"/>
        </w:rPr>
        <w:t>Внесення змін до містобудівних умов та обмежень забудови земельної ділянки</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626"/>
        <w:gridCol w:w="5783"/>
      </w:tblGrid>
      <w:tr w:rsidR="000E760B" w:rsidRPr="008D2090" w:rsidTr="00FE2188">
        <w:trPr>
          <w:trHeight w:val="537"/>
        </w:trPr>
        <w:tc>
          <w:tcPr>
            <w:tcW w:w="9925" w:type="dxa"/>
            <w:gridSpan w:val="3"/>
          </w:tcPr>
          <w:p w:rsidR="00C83615" w:rsidRPr="008D2090" w:rsidRDefault="000E760B" w:rsidP="005151DD">
            <w:pPr>
              <w:jc w:val="center"/>
              <w:rPr>
                <w:rFonts w:ascii="Times New Roman" w:hAnsi="Times New Roman"/>
                <w:b/>
                <w:lang w:val="uk-UA"/>
              </w:rPr>
            </w:pPr>
            <w:r w:rsidRPr="008D2090">
              <w:rPr>
                <w:rFonts w:ascii="Times New Roman" w:hAnsi="Times New Roman"/>
                <w:b/>
                <w:lang w:val="uk-UA"/>
              </w:rPr>
              <w:t xml:space="preserve">Інформація про </w:t>
            </w:r>
            <w:r w:rsidR="003D434F" w:rsidRPr="008D2090">
              <w:rPr>
                <w:rFonts w:ascii="Times New Roman" w:hAnsi="Times New Roman"/>
                <w:b/>
                <w:lang w:val="uk-UA"/>
              </w:rPr>
              <w:t>Ц</w:t>
            </w:r>
            <w:r w:rsidRPr="008D2090">
              <w:rPr>
                <w:rFonts w:ascii="Times New Roman" w:hAnsi="Times New Roman"/>
                <w:b/>
                <w:lang w:val="uk-UA"/>
              </w:rPr>
              <w:t>ентр надання адміністративної послуги</w:t>
            </w:r>
            <w:r w:rsidR="003D434F" w:rsidRPr="008D2090">
              <w:rPr>
                <w:rFonts w:ascii="Times New Roman" w:hAnsi="Times New Roman"/>
                <w:b/>
                <w:lang w:val="uk-UA"/>
              </w:rPr>
              <w:t xml:space="preserve"> виконавчого комітету Мартинівської сільської ради</w:t>
            </w:r>
          </w:p>
        </w:tc>
      </w:tr>
      <w:tr w:rsidR="000E760B" w:rsidRPr="008D2090" w:rsidTr="003B1A90">
        <w:trPr>
          <w:trHeight w:val="604"/>
        </w:trPr>
        <w:tc>
          <w:tcPr>
            <w:tcW w:w="516" w:type="dxa"/>
          </w:tcPr>
          <w:p w:rsidR="000E760B" w:rsidRPr="008D2090" w:rsidRDefault="000E760B" w:rsidP="009B1A3B">
            <w:pPr>
              <w:rPr>
                <w:rFonts w:ascii="Times New Roman" w:hAnsi="Times New Roman"/>
                <w:lang w:val="uk-UA"/>
              </w:rPr>
            </w:pPr>
            <w:r w:rsidRPr="008D2090">
              <w:rPr>
                <w:rFonts w:ascii="Times New Roman" w:hAnsi="Times New Roman"/>
                <w:lang w:val="uk-UA"/>
              </w:rPr>
              <w:t xml:space="preserve"> 1.</w:t>
            </w:r>
          </w:p>
        </w:tc>
        <w:tc>
          <w:tcPr>
            <w:tcW w:w="3626" w:type="dxa"/>
          </w:tcPr>
          <w:p w:rsidR="000E760B" w:rsidRPr="008D2090" w:rsidRDefault="000E760B" w:rsidP="000E760B">
            <w:pPr>
              <w:rPr>
                <w:rFonts w:ascii="Times New Roman" w:hAnsi="Times New Roman"/>
                <w:lang w:val="uk-UA"/>
              </w:rPr>
            </w:pPr>
            <w:r w:rsidRPr="008D2090">
              <w:rPr>
                <w:rFonts w:ascii="Times New Roman" w:hAnsi="Times New Roman"/>
                <w:lang w:val="uk-UA"/>
              </w:rPr>
              <w:t>Місцезнаходження ЦНАП:</w:t>
            </w:r>
          </w:p>
        </w:tc>
        <w:tc>
          <w:tcPr>
            <w:tcW w:w="5783" w:type="dxa"/>
          </w:tcPr>
          <w:p w:rsidR="000E760B" w:rsidRPr="008D2090" w:rsidRDefault="000E760B" w:rsidP="000E760B">
            <w:pPr>
              <w:rPr>
                <w:rFonts w:ascii="Times New Roman" w:hAnsi="Times New Roman"/>
                <w:lang w:val="uk-UA"/>
              </w:rPr>
            </w:pPr>
            <w:r w:rsidRPr="008D2090">
              <w:rPr>
                <w:rFonts w:ascii="Times New Roman" w:hAnsi="Times New Roman"/>
                <w:lang w:val="uk-UA"/>
              </w:rPr>
              <w:t>39520 Полтавська область, Полтавський район, с.Мартинівка, вул.</w:t>
            </w:r>
            <w:r w:rsidR="008D2090">
              <w:rPr>
                <w:rFonts w:ascii="Times New Roman" w:hAnsi="Times New Roman"/>
                <w:lang w:val="uk-UA"/>
              </w:rPr>
              <w:t xml:space="preserve"> </w:t>
            </w:r>
            <w:r w:rsidRPr="008D2090">
              <w:rPr>
                <w:rFonts w:ascii="Times New Roman" w:hAnsi="Times New Roman"/>
                <w:lang w:val="uk-UA"/>
              </w:rPr>
              <w:t>Богдана Хмельницького, 5</w:t>
            </w:r>
          </w:p>
        </w:tc>
      </w:tr>
      <w:tr w:rsidR="002C0E76" w:rsidRPr="008D2090" w:rsidTr="003B1A90">
        <w:trPr>
          <w:trHeight w:val="1035"/>
        </w:trPr>
        <w:tc>
          <w:tcPr>
            <w:tcW w:w="516" w:type="dxa"/>
          </w:tcPr>
          <w:p w:rsidR="002C0E76" w:rsidRPr="008D2090" w:rsidRDefault="002C0E76" w:rsidP="002C0E76">
            <w:pPr>
              <w:rPr>
                <w:rFonts w:ascii="Times New Roman" w:hAnsi="Times New Roman"/>
                <w:lang w:val="uk-UA"/>
              </w:rPr>
            </w:pPr>
            <w:r w:rsidRPr="008D2090">
              <w:rPr>
                <w:rFonts w:ascii="Times New Roman" w:hAnsi="Times New Roman"/>
                <w:lang w:val="uk-UA"/>
              </w:rPr>
              <w:t xml:space="preserve"> 2.</w:t>
            </w:r>
          </w:p>
        </w:tc>
        <w:tc>
          <w:tcPr>
            <w:tcW w:w="3626" w:type="dxa"/>
          </w:tcPr>
          <w:p w:rsidR="002C0E76" w:rsidRPr="008D2090" w:rsidRDefault="002C0E76" w:rsidP="002C0E76">
            <w:pPr>
              <w:rPr>
                <w:rFonts w:ascii="Times New Roman" w:hAnsi="Times New Roman"/>
                <w:lang w:val="uk-UA"/>
              </w:rPr>
            </w:pPr>
            <w:r w:rsidRPr="008D2090">
              <w:rPr>
                <w:rFonts w:ascii="Times New Roman" w:hAnsi="Times New Roman"/>
                <w:lang w:val="uk-UA"/>
              </w:rPr>
              <w:t>Інформація щодо режиму роботи ЦНАП</w:t>
            </w:r>
          </w:p>
        </w:tc>
        <w:tc>
          <w:tcPr>
            <w:tcW w:w="5783" w:type="dxa"/>
            <w:vAlign w:val="center"/>
          </w:tcPr>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 xml:space="preserve">Понеділок, вівторок середа, четвер з 8.00 до 17.00 </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у т.ч. прийом суб’єктів звернень з 9.00 до 16.00.</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п’ятниця з 8.00 до 16.00,</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обідня перерва з 13.00 до 14.00</w:t>
            </w:r>
          </w:p>
          <w:p w:rsidR="003D434F" w:rsidRPr="008D2090" w:rsidRDefault="002C0E76" w:rsidP="005151DD">
            <w:pPr>
              <w:spacing w:line="256" w:lineRule="auto"/>
              <w:ind w:left="139"/>
              <w:rPr>
                <w:rFonts w:ascii="Times New Roman" w:hAnsi="Times New Roman"/>
                <w:lang w:val="uk-UA"/>
              </w:rPr>
            </w:pPr>
            <w:r w:rsidRPr="008D2090">
              <w:rPr>
                <w:rFonts w:ascii="Times New Roman" w:hAnsi="Times New Roman"/>
                <w:lang w:val="uk-UA"/>
              </w:rPr>
              <w:t>вихідні - субота, неділя та святкові дні</w:t>
            </w:r>
          </w:p>
        </w:tc>
      </w:tr>
      <w:tr w:rsidR="002C0E76" w:rsidRPr="007062B2" w:rsidTr="003B1A90">
        <w:trPr>
          <w:trHeight w:val="985"/>
        </w:trPr>
        <w:tc>
          <w:tcPr>
            <w:tcW w:w="516" w:type="dxa"/>
          </w:tcPr>
          <w:p w:rsidR="002C0E76" w:rsidRPr="008D2090" w:rsidRDefault="002C0E76" w:rsidP="002C0E76">
            <w:pPr>
              <w:rPr>
                <w:rFonts w:ascii="Times New Roman" w:hAnsi="Times New Roman"/>
                <w:lang w:val="uk-UA"/>
              </w:rPr>
            </w:pPr>
            <w:r w:rsidRPr="008D2090">
              <w:rPr>
                <w:rFonts w:ascii="Times New Roman" w:hAnsi="Times New Roman"/>
                <w:lang w:val="uk-UA"/>
              </w:rPr>
              <w:t xml:space="preserve"> 3.</w:t>
            </w:r>
          </w:p>
        </w:tc>
        <w:tc>
          <w:tcPr>
            <w:tcW w:w="3626" w:type="dxa"/>
          </w:tcPr>
          <w:p w:rsidR="002C0E76" w:rsidRPr="008D2090" w:rsidRDefault="002C0E76" w:rsidP="002C0E76">
            <w:pPr>
              <w:rPr>
                <w:rFonts w:ascii="Times New Roman" w:hAnsi="Times New Roman"/>
                <w:lang w:val="uk-UA"/>
              </w:rPr>
            </w:pPr>
            <w:r w:rsidRPr="008D2090">
              <w:rPr>
                <w:rFonts w:ascii="Times New Roman" w:hAnsi="Times New Roman"/>
                <w:lang w:val="uk-UA"/>
              </w:rPr>
              <w:t>Телефон/факс (довідки), адреса електронної пошти та веб-сайт:</w:t>
            </w:r>
          </w:p>
          <w:p w:rsidR="002C0E76" w:rsidRPr="008D2090" w:rsidRDefault="002C0E76" w:rsidP="002C0E76">
            <w:pPr>
              <w:rPr>
                <w:rFonts w:ascii="Times New Roman" w:hAnsi="Times New Roman"/>
                <w:lang w:val="uk-UA"/>
              </w:rPr>
            </w:pPr>
            <w:r w:rsidRPr="008D2090">
              <w:rPr>
                <w:rFonts w:ascii="Times New Roman" w:hAnsi="Times New Roman"/>
                <w:lang w:val="uk-UA"/>
              </w:rPr>
              <w:t>ЦНАП</w:t>
            </w:r>
          </w:p>
        </w:tc>
        <w:tc>
          <w:tcPr>
            <w:tcW w:w="5783" w:type="dxa"/>
            <w:vAlign w:val="center"/>
          </w:tcPr>
          <w:p w:rsidR="002C0E76" w:rsidRPr="008D2090" w:rsidRDefault="002C0E76" w:rsidP="002C0E76">
            <w:pPr>
              <w:widowControl w:val="0"/>
              <w:spacing w:line="256" w:lineRule="auto"/>
              <w:ind w:left="139"/>
              <w:rPr>
                <w:rFonts w:ascii="Times New Roman" w:eastAsia="Calibri" w:hAnsi="Times New Roman"/>
                <w:lang w:val="uk-UA"/>
              </w:rPr>
            </w:pPr>
            <w:r w:rsidRPr="008D2090">
              <w:rPr>
                <w:rFonts w:ascii="Times New Roman" w:eastAsia="Calibri" w:hAnsi="Times New Roman"/>
                <w:lang w:val="uk-UA"/>
              </w:rPr>
              <w:t>тел.+380669003212</w:t>
            </w:r>
          </w:p>
          <w:p w:rsidR="002C0E76" w:rsidRPr="008D2090" w:rsidRDefault="00AC4645" w:rsidP="002C0E76">
            <w:pPr>
              <w:widowControl w:val="0"/>
              <w:spacing w:line="256" w:lineRule="auto"/>
              <w:ind w:left="139"/>
              <w:rPr>
                <w:rFonts w:ascii="Times New Roman" w:eastAsia="Calibri" w:hAnsi="Times New Roman"/>
                <w:lang w:val="uk-UA"/>
              </w:rPr>
            </w:pPr>
            <w:hyperlink r:id="rId7" w:history="1">
              <w:r w:rsidR="002C0E76" w:rsidRPr="008D2090">
                <w:rPr>
                  <w:rStyle w:val="af3"/>
                  <w:rFonts w:ascii="Times New Roman" w:eastAsia="Calibri" w:hAnsi="Times New Roman"/>
                  <w:lang w:val="uk-UA"/>
                </w:rPr>
                <w:t>martynovkatsnap@ukr.net</w:t>
              </w:r>
            </w:hyperlink>
          </w:p>
          <w:p w:rsidR="003D434F" w:rsidRPr="008D2090" w:rsidRDefault="00AC4645" w:rsidP="005151DD">
            <w:pPr>
              <w:widowControl w:val="0"/>
              <w:spacing w:line="256" w:lineRule="auto"/>
              <w:ind w:left="139"/>
              <w:rPr>
                <w:rFonts w:ascii="Times New Roman" w:eastAsia="Calibri" w:hAnsi="Times New Roman"/>
                <w:lang w:val="uk-UA"/>
              </w:rPr>
            </w:pPr>
            <w:hyperlink r:id="rId8" w:history="1">
              <w:r w:rsidR="003D434F" w:rsidRPr="008D2090">
                <w:rPr>
                  <w:rStyle w:val="af3"/>
                  <w:rFonts w:ascii="Times New Roman" w:eastAsia="Calibri" w:hAnsi="Times New Roman"/>
                  <w:lang w:val="uk-UA"/>
                </w:rPr>
                <w:t>http://martynivka.gromada.org.ua/</w:t>
              </w:r>
            </w:hyperlink>
          </w:p>
        </w:tc>
      </w:tr>
      <w:tr w:rsidR="00FE2188" w:rsidRPr="007062B2" w:rsidTr="00C33674">
        <w:trPr>
          <w:trHeight w:val="1245"/>
        </w:trPr>
        <w:tc>
          <w:tcPr>
            <w:tcW w:w="9925" w:type="dxa"/>
            <w:gridSpan w:val="3"/>
          </w:tcPr>
          <w:p w:rsidR="00FE2188" w:rsidRPr="008D2090" w:rsidRDefault="00FE2188" w:rsidP="00FE2188">
            <w:pPr>
              <w:jc w:val="center"/>
              <w:rPr>
                <w:rFonts w:ascii="Times New Roman" w:hAnsi="Times New Roman"/>
                <w:b/>
                <w:lang w:val="uk-UA"/>
              </w:rPr>
            </w:pPr>
            <w:r w:rsidRPr="008D209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rsidR="00FE2188" w:rsidRPr="008D2090" w:rsidRDefault="00FE2188" w:rsidP="00FE2188">
            <w:pPr>
              <w:jc w:val="center"/>
              <w:rPr>
                <w:rFonts w:ascii="Times New Roman" w:hAnsi="Times New Roman"/>
                <w:b/>
                <w:sz w:val="16"/>
                <w:szCs w:val="16"/>
                <w:lang w:val="uk-UA"/>
              </w:rPr>
            </w:pPr>
          </w:p>
          <w:p w:rsidR="00FE2188" w:rsidRPr="008D2090" w:rsidRDefault="00FE2188" w:rsidP="00F230F2">
            <w:pPr>
              <w:jc w:val="center"/>
              <w:rPr>
                <w:rFonts w:ascii="Times New Roman" w:hAnsi="Times New Roman"/>
                <w:lang w:val="uk-UA"/>
              </w:rPr>
            </w:pPr>
            <w:r w:rsidRPr="008D2090">
              <w:rPr>
                <w:rFonts w:ascii="Times New Roman" w:hAnsi="Times New Roman"/>
                <w:b/>
                <w:lang w:val="uk-UA"/>
              </w:rPr>
              <w:t xml:space="preserve">Відділ </w:t>
            </w:r>
            <w:r w:rsidR="008D2090" w:rsidRPr="008D2090">
              <w:rPr>
                <w:rFonts w:ascii="Times New Roman" w:hAnsi="Times New Roman"/>
                <w:b/>
                <w:lang w:val="uk-UA"/>
              </w:rPr>
              <w:t>містобудування</w:t>
            </w:r>
            <w:r w:rsidR="00F230F2" w:rsidRPr="008D2090">
              <w:rPr>
                <w:rFonts w:ascii="Times New Roman" w:hAnsi="Times New Roman"/>
                <w:b/>
                <w:lang w:val="uk-UA"/>
              </w:rPr>
              <w:t xml:space="preserve"> та архітектури Полтавської районної військової адміністрації</w:t>
            </w:r>
          </w:p>
        </w:tc>
      </w:tr>
      <w:tr w:rsidR="00FE2188" w:rsidRPr="008D2090" w:rsidTr="003B1A90">
        <w:trPr>
          <w:trHeight w:val="586"/>
        </w:trPr>
        <w:tc>
          <w:tcPr>
            <w:tcW w:w="516" w:type="dxa"/>
          </w:tcPr>
          <w:p w:rsidR="00FE2188" w:rsidRPr="008D2090" w:rsidRDefault="000E0A99" w:rsidP="000E0A99">
            <w:pPr>
              <w:rPr>
                <w:rFonts w:ascii="Times New Roman" w:hAnsi="Times New Roman"/>
                <w:lang w:val="uk-UA"/>
              </w:rPr>
            </w:pPr>
            <w:r w:rsidRPr="008D2090">
              <w:rPr>
                <w:rFonts w:ascii="Times New Roman" w:hAnsi="Times New Roman"/>
                <w:lang w:val="uk-UA"/>
              </w:rPr>
              <w:t>4.</w:t>
            </w:r>
          </w:p>
        </w:tc>
        <w:tc>
          <w:tcPr>
            <w:tcW w:w="3626" w:type="dxa"/>
          </w:tcPr>
          <w:p w:rsidR="00FE2188" w:rsidRPr="008D2090" w:rsidRDefault="00FE2188" w:rsidP="00FE2188">
            <w:pPr>
              <w:rPr>
                <w:rFonts w:ascii="Times New Roman" w:hAnsi="Times New Roman"/>
                <w:lang w:val="uk-UA"/>
              </w:rPr>
            </w:pPr>
            <w:r w:rsidRPr="008D2090">
              <w:rPr>
                <w:rFonts w:ascii="Times New Roman" w:hAnsi="Times New Roman"/>
                <w:lang w:val="uk-UA"/>
              </w:rPr>
              <w:t>Місцезнаходження</w:t>
            </w:r>
          </w:p>
        </w:tc>
        <w:tc>
          <w:tcPr>
            <w:tcW w:w="5783" w:type="dxa"/>
          </w:tcPr>
          <w:p w:rsidR="00FE2188" w:rsidRPr="008D2090" w:rsidRDefault="00F230F2" w:rsidP="003D434F">
            <w:pPr>
              <w:spacing w:line="256" w:lineRule="auto"/>
              <w:ind w:left="139"/>
              <w:rPr>
                <w:rFonts w:ascii="Times New Roman" w:hAnsi="Times New Roman"/>
                <w:lang w:val="uk-UA"/>
              </w:rPr>
            </w:pPr>
            <w:r w:rsidRPr="008D2090">
              <w:rPr>
                <w:rFonts w:ascii="Times New Roman" w:hAnsi="Times New Roman"/>
                <w:lang w:val="uk-UA"/>
              </w:rPr>
              <w:t>вулиця Шевченка, 5, Полтава, Полтавська область, 36000</w:t>
            </w:r>
          </w:p>
        </w:tc>
      </w:tr>
      <w:tr w:rsidR="00FE2188" w:rsidRPr="008D2090" w:rsidTr="003B1A90">
        <w:trPr>
          <w:trHeight w:val="745"/>
        </w:trPr>
        <w:tc>
          <w:tcPr>
            <w:tcW w:w="516" w:type="dxa"/>
          </w:tcPr>
          <w:p w:rsidR="00FE2188" w:rsidRPr="008D2090" w:rsidRDefault="000E0A99" w:rsidP="000E0A99">
            <w:pPr>
              <w:rPr>
                <w:rFonts w:ascii="Times New Roman" w:hAnsi="Times New Roman"/>
                <w:lang w:val="uk-UA"/>
              </w:rPr>
            </w:pPr>
            <w:r w:rsidRPr="008D2090">
              <w:rPr>
                <w:rFonts w:ascii="Times New Roman" w:hAnsi="Times New Roman"/>
                <w:lang w:val="uk-UA"/>
              </w:rPr>
              <w:t>5.</w:t>
            </w:r>
          </w:p>
        </w:tc>
        <w:tc>
          <w:tcPr>
            <w:tcW w:w="3626" w:type="dxa"/>
          </w:tcPr>
          <w:p w:rsidR="00FE2188" w:rsidRPr="008D2090" w:rsidRDefault="00FE2188" w:rsidP="00FE2188">
            <w:pPr>
              <w:rPr>
                <w:rFonts w:ascii="Times New Roman" w:hAnsi="Times New Roman"/>
                <w:lang w:val="uk-UA"/>
              </w:rPr>
            </w:pPr>
            <w:r w:rsidRPr="008D2090">
              <w:rPr>
                <w:rFonts w:ascii="Times New Roman" w:hAnsi="Times New Roman"/>
                <w:lang w:val="uk-UA"/>
              </w:rPr>
              <w:t>Телефон / факс, електронна адреса, офіційний та веб-сайт</w:t>
            </w:r>
          </w:p>
        </w:tc>
        <w:tc>
          <w:tcPr>
            <w:tcW w:w="5783" w:type="dxa"/>
          </w:tcPr>
          <w:p w:rsidR="002B3FF6" w:rsidRPr="002B3FF6" w:rsidRDefault="002B3FF6" w:rsidP="002B3FF6">
            <w:pPr>
              <w:spacing w:line="256" w:lineRule="auto"/>
              <w:ind w:left="139"/>
              <w:rPr>
                <w:rFonts w:ascii="Times New Roman" w:hAnsi="Times New Roman"/>
                <w:lang w:val="uk-UA"/>
              </w:rPr>
            </w:pPr>
            <w:r w:rsidRPr="002B3FF6">
              <w:rPr>
                <w:rFonts w:ascii="Times New Roman" w:hAnsi="Times New Roman"/>
                <w:lang w:val="uk-UA"/>
              </w:rPr>
              <w:t xml:space="preserve">(0532 ) 51-92-56 </w:t>
            </w:r>
          </w:p>
          <w:p w:rsidR="00FE2188" w:rsidRPr="008D2090" w:rsidRDefault="002B3FF6" w:rsidP="002B3FF6">
            <w:pPr>
              <w:spacing w:line="256" w:lineRule="auto"/>
              <w:ind w:left="139"/>
              <w:rPr>
                <w:rFonts w:ascii="Times New Roman" w:hAnsi="Times New Roman"/>
                <w:lang w:val="uk-UA"/>
              </w:rPr>
            </w:pPr>
            <w:r w:rsidRPr="002B3FF6">
              <w:rPr>
                <w:rFonts w:ascii="Times New Roman" w:hAnsi="Times New Roman"/>
                <w:lang w:val="uk-UA"/>
              </w:rPr>
              <w:t>електронна адреса: polt_rda@adm-pl.gov.ua ach_prda@ukr.net</w:t>
            </w:r>
          </w:p>
        </w:tc>
      </w:tr>
      <w:tr w:rsidR="00BD3490" w:rsidRPr="008D2090" w:rsidTr="00FE2188">
        <w:trPr>
          <w:trHeight w:val="420"/>
        </w:trPr>
        <w:tc>
          <w:tcPr>
            <w:tcW w:w="9925" w:type="dxa"/>
            <w:gridSpan w:val="3"/>
          </w:tcPr>
          <w:p w:rsidR="00BD3490" w:rsidRPr="008D2090" w:rsidRDefault="00BD3490" w:rsidP="00BD3490">
            <w:pPr>
              <w:rPr>
                <w:rFonts w:ascii="Times New Roman" w:hAnsi="Times New Roman"/>
                <w:b/>
                <w:lang w:val="uk-UA"/>
              </w:rPr>
            </w:pPr>
            <w:r w:rsidRPr="008D2090">
              <w:rPr>
                <w:rFonts w:ascii="Times New Roman" w:hAnsi="Times New Roman"/>
                <w:lang w:val="uk-UA"/>
              </w:rPr>
              <w:t xml:space="preserve">         </w:t>
            </w:r>
            <w:r w:rsidRPr="008D2090">
              <w:rPr>
                <w:rFonts w:ascii="Times New Roman" w:hAnsi="Times New Roman"/>
                <w:b/>
                <w:lang w:val="uk-UA"/>
              </w:rPr>
              <w:t>Нормативні акти, якими регламентується надання адміністративної послуги</w:t>
            </w:r>
          </w:p>
        </w:tc>
      </w:tr>
      <w:tr w:rsidR="00B858C3" w:rsidRPr="008D2090" w:rsidTr="006C64AF">
        <w:trPr>
          <w:trHeight w:val="617"/>
        </w:trPr>
        <w:tc>
          <w:tcPr>
            <w:tcW w:w="516" w:type="dxa"/>
          </w:tcPr>
          <w:p w:rsidR="00B858C3" w:rsidRPr="008D2090" w:rsidRDefault="00B858C3" w:rsidP="000E0A99">
            <w:pPr>
              <w:rPr>
                <w:rFonts w:ascii="Times New Roman" w:hAnsi="Times New Roman"/>
                <w:lang w:val="uk-UA"/>
              </w:rPr>
            </w:pPr>
            <w:r w:rsidRPr="008D2090">
              <w:rPr>
                <w:rFonts w:ascii="Times New Roman" w:hAnsi="Times New Roman"/>
                <w:lang w:val="uk-UA"/>
              </w:rPr>
              <w:t xml:space="preserve"> </w:t>
            </w:r>
            <w:r w:rsidR="000E0A99" w:rsidRPr="008D2090">
              <w:rPr>
                <w:rFonts w:ascii="Times New Roman" w:hAnsi="Times New Roman"/>
                <w:lang w:val="uk-UA"/>
              </w:rPr>
              <w:t>6</w:t>
            </w:r>
            <w:r w:rsidRPr="008D2090">
              <w:rPr>
                <w:rFonts w:ascii="Times New Roman" w:hAnsi="Times New Roman"/>
                <w:lang w:val="uk-UA"/>
              </w:rPr>
              <w:t>.</w:t>
            </w:r>
          </w:p>
        </w:tc>
        <w:tc>
          <w:tcPr>
            <w:tcW w:w="3626" w:type="dxa"/>
          </w:tcPr>
          <w:p w:rsidR="00B858C3" w:rsidRPr="008D2090" w:rsidRDefault="00B858C3" w:rsidP="00B858C3">
            <w:pPr>
              <w:rPr>
                <w:rFonts w:ascii="Times New Roman" w:hAnsi="Times New Roman"/>
                <w:lang w:val="uk-UA"/>
              </w:rPr>
            </w:pPr>
            <w:r w:rsidRPr="008D2090">
              <w:rPr>
                <w:rFonts w:ascii="Times New Roman" w:hAnsi="Times New Roman"/>
                <w:lang w:val="uk-UA"/>
              </w:rPr>
              <w:t>Закони України</w:t>
            </w:r>
          </w:p>
        </w:tc>
        <w:tc>
          <w:tcPr>
            <w:tcW w:w="5783" w:type="dxa"/>
          </w:tcPr>
          <w:p w:rsidR="00B858C3" w:rsidRPr="008D2090" w:rsidRDefault="00AC4645" w:rsidP="000E0A99">
            <w:pPr>
              <w:spacing w:line="256" w:lineRule="auto"/>
              <w:ind w:left="139"/>
              <w:rPr>
                <w:rFonts w:ascii="Times New Roman" w:hAnsi="Times New Roman"/>
                <w:lang w:val="uk-UA"/>
              </w:rPr>
            </w:pPr>
            <w:hyperlink r:id="rId9" w:anchor="Text" w:tgtFrame="_blank" w:history="1">
              <w:r w:rsidR="00F230F2" w:rsidRPr="008D2090">
                <w:rPr>
                  <w:rFonts w:ascii="Times New Roman" w:hAnsi="Times New Roman"/>
                  <w:lang w:val="uk-UA"/>
                </w:rPr>
                <w:t>Закон України "Про регулювання містобудівної діяльності" стаття 29</w:t>
              </w:r>
            </w:hyperlink>
          </w:p>
        </w:tc>
      </w:tr>
      <w:tr w:rsidR="00B858C3" w:rsidRPr="007062B2" w:rsidTr="003B1A90">
        <w:trPr>
          <w:trHeight w:val="649"/>
        </w:trPr>
        <w:tc>
          <w:tcPr>
            <w:tcW w:w="516" w:type="dxa"/>
          </w:tcPr>
          <w:p w:rsidR="00B858C3" w:rsidRPr="008D2090" w:rsidRDefault="00B858C3" w:rsidP="000E0A99">
            <w:pPr>
              <w:rPr>
                <w:rFonts w:ascii="Times New Roman" w:hAnsi="Times New Roman"/>
                <w:lang w:val="uk-UA"/>
              </w:rPr>
            </w:pPr>
            <w:r w:rsidRPr="008D2090">
              <w:rPr>
                <w:rFonts w:ascii="Times New Roman" w:hAnsi="Times New Roman"/>
                <w:lang w:val="uk-UA"/>
              </w:rPr>
              <w:t xml:space="preserve"> </w:t>
            </w:r>
            <w:r w:rsidR="000E0A99" w:rsidRPr="008D2090">
              <w:rPr>
                <w:rFonts w:ascii="Times New Roman" w:hAnsi="Times New Roman"/>
                <w:lang w:val="uk-UA"/>
              </w:rPr>
              <w:t>7</w:t>
            </w:r>
            <w:r w:rsidRPr="008D2090">
              <w:rPr>
                <w:rFonts w:ascii="Times New Roman" w:hAnsi="Times New Roman"/>
                <w:lang w:val="uk-UA"/>
              </w:rPr>
              <w:t>.</w:t>
            </w:r>
          </w:p>
        </w:tc>
        <w:tc>
          <w:tcPr>
            <w:tcW w:w="3626" w:type="dxa"/>
          </w:tcPr>
          <w:p w:rsidR="00B858C3" w:rsidRPr="008D2090" w:rsidRDefault="00B858C3" w:rsidP="00B858C3">
            <w:pPr>
              <w:rPr>
                <w:rFonts w:ascii="Times New Roman" w:hAnsi="Times New Roman"/>
                <w:lang w:val="uk-UA"/>
              </w:rPr>
            </w:pPr>
            <w:r w:rsidRPr="008D2090">
              <w:rPr>
                <w:rFonts w:ascii="Times New Roman" w:hAnsi="Times New Roman"/>
                <w:lang w:val="uk-UA"/>
              </w:rPr>
              <w:t>Акти Кабінету Міністрів України</w:t>
            </w:r>
          </w:p>
        </w:tc>
        <w:tc>
          <w:tcPr>
            <w:tcW w:w="5783" w:type="dxa"/>
          </w:tcPr>
          <w:p w:rsidR="009E7A75" w:rsidRDefault="009E7A75" w:rsidP="000E0A99">
            <w:pPr>
              <w:spacing w:line="256" w:lineRule="auto"/>
              <w:ind w:left="139"/>
              <w:rPr>
                <w:rFonts w:ascii="Times New Roman" w:hAnsi="Times New Roman"/>
                <w:lang w:val="uk-UA"/>
              </w:rPr>
            </w:pPr>
            <w:r w:rsidRPr="009E7A75">
              <w:rPr>
                <w:rFonts w:ascii="Times New Roman" w:hAnsi="Times New Roman"/>
                <w:lang w:val="uk-UA"/>
              </w:rPr>
              <w:t>Постанова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rsidR="009E7A75" w:rsidRPr="00D05215" w:rsidRDefault="00AC4645" w:rsidP="000E0A99">
            <w:pPr>
              <w:spacing w:line="256" w:lineRule="auto"/>
              <w:ind w:left="139"/>
              <w:rPr>
                <w:lang w:val="uk-UA"/>
              </w:rPr>
            </w:pPr>
            <w:hyperlink r:id="rId10" w:anchor="n2" w:tgtFrame="_blank" w:history="1">
              <w:r w:rsidR="009E7A75" w:rsidRPr="009E7A75">
                <w:rPr>
                  <w:rStyle w:val="af3"/>
                  <w:rFonts w:ascii="e-ukraine" w:hAnsi="e-ukraine"/>
                  <w:color w:val="000000"/>
                  <w:spacing w:val="-5"/>
                  <w:u w:val="none"/>
                  <w:bdr w:val="none" w:sz="0" w:space="0" w:color="auto" w:frame="1"/>
                  <w:shd w:val="clear" w:color="auto" w:fill="FFFFFF"/>
                  <w:lang w:val="uk-UA"/>
                </w:rPr>
                <w:t>Постанова Кабінету Міністрів України від 24 червня 2022 р. №722 «Деякі питання здійснення дозвільних та реєстраційних процедур у будівництві в умовах воєнного стану»</w:t>
              </w:r>
            </w:hyperlink>
          </w:p>
          <w:p w:rsidR="003D434F"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Розпорядження Кабінету Міністрів України від 16 травня 2014 р. № 523-р «Деякі питання надання адміністративних послуг через центри надання адміністративних послуг» (зі змінами)</w:t>
            </w:r>
          </w:p>
        </w:tc>
      </w:tr>
      <w:tr w:rsidR="000E0A99" w:rsidRPr="008D2090" w:rsidTr="003B1A90">
        <w:trPr>
          <w:trHeight w:val="274"/>
        </w:trPr>
        <w:tc>
          <w:tcPr>
            <w:tcW w:w="516" w:type="dxa"/>
          </w:tcPr>
          <w:p w:rsidR="000E0A99" w:rsidRPr="008D2090" w:rsidRDefault="000E0A99" w:rsidP="000E0A99">
            <w:pPr>
              <w:rPr>
                <w:rFonts w:ascii="Times New Roman" w:hAnsi="Times New Roman"/>
                <w:lang w:val="uk-UA"/>
              </w:rPr>
            </w:pPr>
            <w:r w:rsidRPr="008D2090">
              <w:rPr>
                <w:rFonts w:ascii="Times New Roman" w:hAnsi="Times New Roman"/>
                <w:lang w:val="uk-UA"/>
              </w:rPr>
              <w:t xml:space="preserve"> 8.</w:t>
            </w:r>
          </w:p>
        </w:tc>
        <w:tc>
          <w:tcPr>
            <w:tcW w:w="3626" w:type="dxa"/>
            <w:vAlign w:val="center"/>
          </w:tcPr>
          <w:p w:rsidR="000E0A99" w:rsidRPr="008D2090" w:rsidRDefault="000E0A99" w:rsidP="000E0A99">
            <w:pPr>
              <w:rPr>
                <w:rFonts w:ascii="Times New Roman" w:hAnsi="Times New Roman"/>
                <w:lang w:val="uk-UA"/>
              </w:rPr>
            </w:pPr>
            <w:r w:rsidRPr="008D2090">
              <w:rPr>
                <w:rFonts w:ascii="Times New Roman" w:hAnsi="Times New Roman"/>
                <w:lang w:val="uk-UA"/>
              </w:rPr>
              <w:t>Акти центральних органів виконавчої влади</w:t>
            </w:r>
          </w:p>
        </w:tc>
        <w:tc>
          <w:tcPr>
            <w:tcW w:w="5783" w:type="dxa"/>
          </w:tcPr>
          <w:p w:rsidR="000E0A99" w:rsidRPr="008D2090" w:rsidRDefault="00AC4645" w:rsidP="000E0A99">
            <w:pPr>
              <w:spacing w:line="256" w:lineRule="auto"/>
              <w:ind w:left="139"/>
              <w:rPr>
                <w:rFonts w:ascii="Times New Roman" w:hAnsi="Times New Roman"/>
                <w:lang w:val="uk-UA"/>
              </w:rPr>
            </w:pPr>
            <w:hyperlink r:id="rId11" w:anchor="Text" w:tgtFrame="_blank" w:history="1">
              <w:r w:rsidR="000E0A99" w:rsidRPr="008D2090">
                <w:rPr>
                  <w:rFonts w:ascii="Times New Roman" w:hAnsi="Times New Roman"/>
                  <w:lang w:val="uk-UA"/>
                </w:rPr>
                <w:t xml:space="preserve">Наказ </w:t>
              </w:r>
              <w:r w:rsidR="00D72723" w:rsidRPr="00D72723">
                <w:rPr>
                  <w:rFonts w:ascii="Times New Roman" w:hAnsi="Times New Roman"/>
                  <w:lang w:val="uk-UA"/>
                </w:rPr>
                <w:t>Міністерства регіонального розвитку, будівництва та житлово-комунального господарства України</w:t>
              </w:r>
              <w:r w:rsidR="000E0A99" w:rsidRPr="008D2090">
                <w:rPr>
                  <w:rFonts w:ascii="Times New Roman" w:hAnsi="Times New Roman"/>
                  <w:lang w:val="uk-UA"/>
                </w:rPr>
                <w:t xml:space="preserve"> від 31.05.2017 №135 "Про затвердження Порядку ведення реєстру містобудівних умов та обмежень"</w:t>
              </w:r>
            </w:hyperlink>
          </w:p>
        </w:tc>
      </w:tr>
      <w:tr w:rsidR="000E0A99" w:rsidRPr="007062B2" w:rsidTr="003B1A90">
        <w:trPr>
          <w:trHeight w:val="274"/>
        </w:trPr>
        <w:tc>
          <w:tcPr>
            <w:tcW w:w="516" w:type="dxa"/>
          </w:tcPr>
          <w:p w:rsidR="000E0A99" w:rsidRPr="008D2090" w:rsidRDefault="000E0A99" w:rsidP="000E0A99">
            <w:pPr>
              <w:rPr>
                <w:rFonts w:ascii="Times New Roman" w:hAnsi="Times New Roman"/>
                <w:lang w:val="uk-UA"/>
              </w:rPr>
            </w:pPr>
            <w:r w:rsidRPr="008D2090">
              <w:rPr>
                <w:rFonts w:ascii="Times New Roman" w:hAnsi="Times New Roman"/>
                <w:lang w:val="uk-UA"/>
              </w:rPr>
              <w:lastRenderedPageBreak/>
              <w:t xml:space="preserve"> 9.</w:t>
            </w:r>
          </w:p>
        </w:tc>
        <w:tc>
          <w:tcPr>
            <w:tcW w:w="3626" w:type="dxa"/>
          </w:tcPr>
          <w:p w:rsidR="000E0A99" w:rsidRPr="008D2090" w:rsidRDefault="000E0A99" w:rsidP="000E0A99">
            <w:pPr>
              <w:rPr>
                <w:rFonts w:ascii="Times New Roman" w:hAnsi="Times New Roman"/>
                <w:lang w:val="uk-UA"/>
              </w:rPr>
            </w:pPr>
            <w:r w:rsidRPr="008D2090">
              <w:rPr>
                <w:rFonts w:ascii="Times New Roman" w:hAnsi="Times New Roman"/>
                <w:lang w:val="uk-UA"/>
              </w:rPr>
              <w:t>Акти місцевих органів виконавчої влади/органів місцевого самоврядування</w:t>
            </w:r>
          </w:p>
        </w:tc>
        <w:tc>
          <w:tcPr>
            <w:tcW w:w="5783" w:type="dxa"/>
          </w:tcPr>
          <w:p w:rsidR="000E0A99"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Рішення №6/VIII-234 від 05.11.2021 шостої сесії восьмого скликання  Полтавської районної ради «Про делегування повноважень у сфері містобудування і арх</w:t>
            </w:r>
            <w:r w:rsidR="008D2090">
              <w:rPr>
                <w:rFonts w:ascii="Times New Roman" w:hAnsi="Times New Roman"/>
                <w:lang w:val="uk-UA"/>
              </w:rPr>
              <w:t>і</w:t>
            </w:r>
            <w:r w:rsidRPr="008D2090">
              <w:rPr>
                <w:rFonts w:ascii="Times New Roman" w:hAnsi="Times New Roman"/>
                <w:lang w:val="uk-UA"/>
              </w:rPr>
              <w:t>тектури»;</w:t>
            </w:r>
          </w:p>
          <w:p w:rsidR="000E0A99" w:rsidRPr="008D2090" w:rsidRDefault="000E0A99" w:rsidP="006C64AF">
            <w:pPr>
              <w:spacing w:line="256" w:lineRule="auto"/>
              <w:ind w:left="139"/>
              <w:rPr>
                <w:rFonts w:ascii="Times New Roman" w:hAnsi="Times New Roman"/>
                <w:lang w:val="uk-UA"/>
              </w:rPr>
            </w:pPr>
            <w:r w:rsidRPr="008D2090">
              <w:rPr>
                <w:rFonts w:ascii="Times New Roman" w:hAnsi="Times New Roman"/>
                <w:lang w:val="uk-UA"/>
              </w:rPr>
              <w:t>Рішення Мартинівської сільської ради від 21.12.2021 «Про функціонування Центру надання адміністративних послуг виконавчого комітету Мартинівської сільської ради» (14 сесія 8 скликання)</w:t>
            </w:r>
          </w:p>
        </w:tc>
      </w:tr>
      <w:tr w:rsidR="00BD3490" w:rsidRPr="008D2090" w:rsidTr="00FE2188">
        <w:trPr>
          <w:trHeight w:val="465"/>
        </w:trPr>
        <w:tc>
          <w:tcPr>
            <w:tcW w:w="9925" w:type="dxa"/>
            <w:gridSpan w:val="3"/>
          </w:tcPr>
          <w:p w:rsidR="00BD3490" w:rsidRPr="008D2090" w:rsidRDefault="00BD3490" w:rsidP="00BD3490">
            <w:pPr>
              <w:rPr>
                <w:rFonts w:ascii="Times New Roman" w:hAnsi="Times New Roman"/>
                <w:b/>
                <w:lang w:val="uk-UA"/>
              </w:rPr>
            </w:pPr>
            <w:r w:rsidRPr="008D2090">
              <w:rPr>
                <w:rFonts w:ascii="Times New Roman" w:hAnsi="Times New Roman"/>
                <w:b/>
                <w:lang w:val="uk-UA"/>
              </w:rPr>
              <w:t xml:space="preserve">                                     Умови отримання адміністративної послуги</w:t>
            </w:r>
          </w:p>
        </w:tc>
      </w:tr>
      <w:tr w:rsidR="00FE2188" w:rsidRPr="008D2090" w:rsidTr="003B1A90">
        <w:trPr>
          <w:trHeight w:val="750"/>
        </w:trPr>
        <w:tc>
          <w:tcPr>
            <w:tcW w:w="516" w:type="dxa"/>
          </w:tcPr>
          <w:p w:rsidR="00FE2188" w:rsidRPr="008D2090" w:rsidRDefault="000E0A99" w:rsidP="00FE2188">
            <w:pPr>
              <w:rPr>
                <w:rFonts w:ascii="Times New Roman" w:hAnsi="Times New Roman"/>
                <w:lang w:val="uk-UA"/>
              </w:rPr>
            </w:pPr>
            <w:r w:rsidRPr="008D2090">
              <w:rPr>
                <w:rFonts w:ascii="Times New Roman" w:hAnsi="Times New Roman"/>
                <w:lang w:val="uk-UA"/>
              </w:rPr>
              <w:t>10</w:t>
            </w:r>
            <w:r w:rsidR="00FE2188" w:rsidRPr="008D2090">
              <w:rPr>
                <w:rFonts w:ascii="Times New Roman" w:hAnsi="Times New Roman"/>
                <w:lang w:val="uk-UA"/>
              </w:rPr>
              <w:t>.</w:t>
            </w:r>
          </w:p>
        </w:tc>
        <w:tc>
          <w:tcPr>
            <w:tcW w:w="3626" w:type="dxa"/>
          </w:tcPr>
          <w:p w:rsidR="00FE2188" w:rsidRPr="008D2090" w:rsidRDefault="00FE2188" w:rsidP="00FE2188">
            <w:pPr>
              <w:rPr>
                <w:rFonts w:ascii="Times New Roman" w:hAnsi="Times New Roman"/>
                <w:lang w:val="uk-UA"/>
              </w:rPr>
            </w:pPr>
            <w:r w:rsidRPr="008D2090">
              <w:rPr>
                <w:rFonts w:ascii="Times New Roman" w:hAnsi="Times New Roman"/>
                <w:lang w:val="uk-UA"/>
              </w:rPr>
              <w:t>Підстава для одержання адміністративної послуги</w:t>
            </w:r>
          </w:p>
        </w:tc>
        <w:tc>
          <w:tcPr>
            <w:tcW w:w="5783" w:type="dxa"/>
          </w:tcPr>
          <w:p w:rsidR="001F166F" w:rsidRPr="001F166F" w:rsidRDefault="001F166F" w:rsidP="001F166F">
            <w:pPr>
              <w:ind w:firstLine="170"/>
              <w:jc w:val="both"/>
              <w:rPr>
                <w:rFonts w:ascii="Times New Roman" w:hAnsi="Times New Roman"/>
                <w:lang w:val="uk-UA"/>
              </w:rPr>
            </w:pPr>
            <w:r w:rsidRPr="001F166F">
              <w:rPr>
                <w:rFonts w:ascii="Times New Roman" w:hAnsi="Times New Roman"/>
                <w:lang w:val="uk-UA"/>
              </w:rPr>
              <w:t>Містобудівні умови та обмеження надаються відповідними уповноваженими органами містобудування та архітектури на підставі містобудівної документації на місцевому рівні на безоплатній основі за заявою замовника (із зазначенням кадастрового номера земельної ділянки), до якої додаються необхідні документи.</w:t>
            </w:r>
          </w:p>
          <w:p w:rsidR="00FE2188" w:rsidRPr="008D2090" w:rsidRDefault="001F166F" w:rsidP="001F166F">
            <w:pPr>
              <w:ind w:firstLine="170"/>
              <w:jc w:val="both"/>
              <w:rPr>
                <w:rFonts w:ascii="Times New Roman" w:hAnsi="Times New Roman"/>
                <w:lang w:val="uk-UA"/>
              </w:rPr>
            </w:pPr>
            <w:r w:rsidRPr="001F166F">
              <w:rPr>
                <w:rFonts w:ascii="Times New Roman" w:hAnsi="Times New Roman"/>
                <w:lang w:val="uk-UA"/>
              </w:rPr>
              <w:t>Внесення змін до містобудівних умов та обмежень може здійснювати орган, що їх надав, за заявою замовника або за рішенням суду.</w:t>
            </w:r>
          </w:p>
        </w:tc>
      </w:tr>
      <w:tr w:rsidR="00B858C3" w:rsidRPr="00D05215" w:rsidTr="00D72723">
        <w:trPr>
          <w:trHeight w:val="983"/>
        </w:trPr>
        <w:tc>
          <w:tcPr>
            <w:tcW w:w="516" w:type="dxa"/>
          </w:tcPr>
          <w:p w:rsidR="00B858C3" w:rsidRPr="008D2090" w:rsidRDefault="00B94859" w:rsidP="00B858C3">
            <w:pPr>
              <w:jc w:val="both"/>
              <w:rPr>
                <w:rFonts w:ascii="Times New Roman" w:hAnsi="Times New Roman"/>
                <w:lang w:val="uk-UA"/>
              </w:rPr>
            </w:pPr>
            <w:r>
              <w:rPr>
                <w:rFonts w:ascii="Times New Roman" w:hAnsi="Times New Roman"/>
                <w:lang w:val="uk-UA"/>
              </w:rPr>
              <w:t>11</w:t>
            </w:r>
            <w:r w:rsidR="00B858C3"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Перелік необхідних документів</w:t>
            </w:r>
          </w:p>
        </w:tc>
        <w:tc>
          <w:tcPr>
            <w:tcW w:w="5783" w:type="dxa"/>
          </w:tcPr>
          <w:p w:rsidR="001F166F" w:rsidRPr="001F166F" w:rsidRDefault="001F166F" w:rsidP="001F166F">
            <w:pPr>
              <w:pStyle w:val="aa"/>
              <w:numPr>
                <w:ilvl w:val="0"/>
                <w:numId w:val="6"/>
              </w:numPr>
              <w:jc w:val="both"/>
              <w:rPr>
                <w:rFonts w:ascii="Times New Roman" w:hAnsi="Times New Roman"/>
                <w:lang w:val="uk-UA"/>
              </w:rPr>
            </w:pPr>
            <w:r w:rsidRPr="001F166F">
              <w:rPr>
                <w:rFonts w:ascii="Times New Roman" w:hAnsi="Times New Roman"/>
                <w:lang w:val="uk-UA"/>
              </w:rPr>
              <w:t>Заява про внесення змін до містобудівних умов та обмежень</w:t>
            </w:r>
          </w:p>
          <w:p w:rsidR="001F166F" w:rsidRPr="001F166F" w:rsidRDefault="001F166F" w:rsidP="001F166F">
            <w:pPr>
              <w:pStyle w:val="aa"/>
              <w:numPr>
                <w:ilvl w:val="0"/>
                <w:numId w:val="6"/>
              </w:numPr>
              <w:jc w:val="both"/>
              <w:rPr>
                <w:rFonts w:ascii="Times New Roman" w:hAnsi="Times New Roman"/>
                <w:lang w:val="uk-UA"/>
              </w:rPr>
            </w:pPr>
            <w:r w:rsidRPr="001F166F">
              <w:rPr>
                <w:rFonts w:ascii="Times New Roman" w:hAnsi="Times New Roman"/>
                <w:lang w:val="uk-UA"/>
              </w:rPr>
              <w:t>Примірник містобудівних умов та обмежень замовника</w:t>
            </w:r>
          </w:p>
          <w:p w:rsidR="00B858C3" w:rsidRPr="008D2090" w:rsidRDefault="001F166F" w:rsidP="001F166F">
            <w:pPr>
              <w:pStyle w:val="aa"/>
              <w:numPr>
                <w:ilvl w:val="0"/>
                <w:numId w:val="6"/>
              </w:numPr>
              <w:jc w:val="both"/>
              <w:rPr>
                <w:rFonts w:ascii="Times New Roman" w:hAnsi="Times New Roman"/>
                <w:lang w:val="uk-UA"/>
              </w:rPr>
            </w:pPr>
            <w:r w:rsidRPr="001F166F">
              <w:rPr>
                <w:rFonts w:ascii="Times New Roman" w:hAnsi="Times New Roman"/>
                <w:lang w:val="uk-UA"/>
              </w:rPr>
              <w:t>Проектні пропозиції зі змінами</w:t>
            </w:r>
          </w:p>
        </w:tc>
      </w:tr>
      <w:tr w:rsidR="00B858C3" w:rsidRPr="008D2090" w:rsidTr="003B1A90">
        <w:trPr>
          <w:trHeight w:val="557"/>
        </w:trPr>
        <w:tc>
          <w:tcPr>
            <w:tcW w:w="516" w:type="dxa"/>
          </w:tcPr>
          <w:p w:rsidR="00B858C3" w:rsidRPr="008D2090" w:rsidRDefault="00B94859" w:rsidP="00B858C3">
            <w:pPr>
              <w:jc w:val="both"/>
              <w:rPr>
                <w:rFonts w:ascii="Times New Roman" w:hAnsi="Times New Roman"/>
                <w:lang w:val="uk-UA"/>
              </w:rPr>
            </w:pPr>
            <w:r>
              <w:rPr>
                <w:rFonts w:ascii="Times New Roman" w:hAnsi="Times New Roman"/>
                <w:lang w:val="uk-UA"/>
              </w:rPr>
              <w:t>12</w:t>
            </w:r>
            <w:r w:rsidR="00B858C3"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Спосіб подання документів </w:t>
            </w:r>
          </w:p>
        </w:tc>
        <w:tc>
          <w:tcPr>
            <w:tcW w:w="5783" w:type="dxa"/>
          </w:tcPr>
          <w:p w:rsidR="00B858C3" w:rsidRPr="008D2090" w:rsidRDefault="003B1A90" w:rsidP="003B1A90">
            <w:pPr>
              <w:jc w:val="both"/>
              <w:rPr>
                <w:rFonts w:ascii="Times New Roman" w:hAnsi="Times New Roman"/>
                <w:lang w:val="uk-UA"/>
              </w:rPr>
            </w:pPr>
            <w:r w:rsidRPr="008D2090">
              <w:rPr>
                <w:rFonts w:ascii="Times New Roman" w:hAnsi="Times New Roman"/>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B858C3" w:rsidRPr="008D2090" w:rsidTr="003B1A90">
        <w:trPr>
          <w:trHeight w:val="486"/>
        </w:trPr>
        <w:tc>
          <w:tcPr>
            <w:tcW w:w="516" w:type="dxa"/>
          </w:tcPr>
          <w:p w:rsidR="00B858C3" w:rsidRPr="008D2090" w:rsidRDefault="00B94859" w:rsidP="00B858C3">
            <w:pPr>
              <w:jc w:val="both"/>
              <w:rPr>
                <w:rFonts w:ascii="Times New Roman" w:hAnsi="Times New Roman"/>
                <w:lang w:val="uk-UA"/>
              </w:rPr>
            </w:pPr>
            <w:r>
              <w:rPr>
                <w:rFonts w:ascii="Times New Roman" w:hAnsi="Times New Roman"/>
                <w:lang w:val="uk-UA"/>
              </w:rPr>
              <w:t>13.</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Платність (безоплатність) надання </w:t>
            </w:r>
          </w:p>
        </w:tc>
        <w:tc>
          <w:tcPr>
            <w:tcW w:w="5783"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Адміністративна послуга надається безоплатно</w:t>
            </w:r>
          </w:p>
        </w:tc>
      </w:tr>
      <w:tr w:rsidR="00B858C3" w:rsidRPr="008D2090" w:rsidTr="006C64AF">
        <w:trPr>
          <w:trHeight w:val="412"/>
        </w:trPr>
        <w:tc>
          <w:tcPr>
            <w:tcW w:w="516" w:type="dxa"/>
          </w:tcPr>
          <w:p w:rsidR="00B858C3" w:rsidRPr="008D2090" w:rsidRDefault="00B858C3" w:rsidP="00B94859">
            <w:pPr>
              <w:jc w:val="both"/>
              <w:rPr>
                <w:rFonts w:ascii="Times New Roman" w:hAnsi="Times New Roman"/>
                <w:lang w:val="uk-UA"/>
              </w:rPr>
            </w:pPr>
            <w:r w:rsidRPr="008D2090">
              <w:rPr>
                <w:rFonts w:ascii="Times New Roman" w:hAnsi="Times New Roman"/>
                <w:lang w:val="uk-UA"/>
              </w:rPr>
              <w:t>1</w:t>
            </w:r>
            <w:r w:rsidR="00B94859">
              <w:rPr>
                <w:rFonts w:ascii="Times New Roman" w:hAnsi="Times New Roman"/>
                <w:lang w:val="uk-UA"/>
              </w:rPr>
              <w:t>4</w:t>
            </w:r>
            <w:r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Строк надання </w:t>
            </w:r>
          </w:p>
        </w:tc>
        <w:tc>
          <w:tcPr>
            <w:tcW w:w="5783" w:type="dxa"/>
          </w:tcPr>
          <w:p w:rsidR="00B858C3" w:rsidRPr="008D2090" w:rsidRDefault="003B1A90" w:rsidP="00B858C3">
            <w:pPr>
              <w:jc w:val="both"/>
              <w:rPr>
                <w:rFonts w:ascii="Times New Roman" w:hAnsi="Times New Roman"/>
                <w:lang w:val="uk-UA"/>
              </w:rPr>
            </w:pPr>
            <w:r w:rsidRPr="008D2090">
              <w:rPr>
                <w:rFonts w:ascii="Times New Roman" w:hAnsi="Times New Roman"/>
                <w:lang w:val="uk-UA"/>
              </w:rPr>
              <w:t xml:space="preserve">10 </w:t>
            </w:r>
            <w:r w:rsidR="008D2090" w:rsidRPr="008D2090">
              <w:rPr>
                <w:rFonts w:ascii="Times New Roman" w:hAnsi="Times New Roman"/>
                <w:lang w:val="uk-UA"/>
              </w:rPr>
              <w:t>робочих</w:t>
            </w:r>
            <w:r w:rsidRPr="008D2090">
              <w:rPr>
                <w:rFonts w:ascii="Times New Roman" w:hAnsi="Times New Roman"/>
                <w:lang w:val="uk-UA"/>
              </w:rPr>
              <w:t xml:space="preserve"> днів</w:t>
            </w:r>
          </w:p>
        </w:tc>
      </w:tr>
      <w:tr w:rsidR="00B858C3" w:rsidRPr="007062B2" w:rsidTr="003B1A90">
        <w:trPr>
          <w:trHeight w:val="2141"/>
        </w:trPr>
        <w:tc>
          <w:tcPr>
            <w:tcW w:w="516" w:type="dxa"/>
          </w:tcPr>
          <w:p w:rsidR="00B858C3" w:rsidRPr="008D2090" w:rsidRDefault="00B858C3" w:rsidP="00B94859">
            <w:pPr>
              <w:jc w:val="both"/>
              <w:rPr>
                <w:rFonts w:ascii="Times New Roman" w:hAnsi="Times New Roman"/>
                <w:lang w:val="uk-UA"/>
              </w:rPr>
            </w:pPr>
            <w:r w:rsidRPr="008D2090">
              <w:rPr>
                <w:rFonts w:ascii="Times New Roman" w:hAnsi="Times New Roman"/>
                <w:lang w:val="uk-UA"/>
              </w:rPr>
              <w:t>1</w:t>
            </w:r>
            <w:r w:rsidR="00B94859">
              <w:rPr>
                <w:rFonts w:ascii="Times New Roman" w:hAnsi="Times New Roman"/>
                <w:lang w:val="uk-UA"/>
              </w:rPr>
              <w:t>5</w:t>
            </w:r>
            <w:r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Перелік підстав для відмови у наданні </w:t>
            </w:r>
          </w:p>
        </w:tc>
        <w:tc>
          <w:tcPr>
            <w:tcW w:w="5783" w:type="dxa"/>
          </w:tcPr>
          <w:p w:rsidR="001F166F" w:rsidRPr="001F166F" w:rsidRDefault="001F166F" w:rsidP="001F166F">
            <w:pPr>
              <w:pStyle w:val="aa"/>
              <w:numPr>
                <w:ilvl w:val="0"/>
                <w:numId w:val="7"/>
              </w:numPr>
              <w:jc w:val="both"/>
              <w:rPr>
                <w:rFonts w:ascii="Times New Roman" w:hAnsi="Times New Roman"/>
                <w:lang w:val="uk-UA"/>
              </w:rPr>
            </w:pPr>
            <w:r w:rsidRPr="001F166F">
              <w:rPr>
                <w:rFonts w:ascii="Times New Roman" w:hAnsi="Times New Roman"/>
                <w:lang w:val="uk-UA"/>
              </w:rPr>
              <w:t>Подання неповного пакета документів</w:t>
            </w:r>
          </w:p>
          <w:p w:rsidR="001F166F" w:rsidRPr="001F166F" w:rsidRDefault="001F166F" w:rsidP="001F166F">
            <w:pPr>
              <w:pStyle w:val="aa"/>
              <w:numPr>
                <w:ilvl w:val="0"/>
                <w:numId w:val="7"/>
              </w:numPr>
              <w:jc w:val="both"/>
              <w:rPr>
                <w:rFonts w:ascii="Times New Roman" w:hAnsi="Times New Roman"/>
                <w:lang w:val="uk-UA"/>
              </w:rPr>
            </w:pPr>
            <w:r w:rsidRPr="001F166F">
              <w:rPr>
                <w:rFonts w:ascii="Times New Roman" w:hAnsi="Times New Roman"/>
                <w:lang w:val="uk-UA"/>
              </w:rPr>
              <w:t>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p>
          <w:p w:rsidR="00B858C3" w:rsidRPr="008D2090" w:rsidRDefault="001F166F" w:rsidP="001F166F">
            <w:pPr>
              <w:pStyle w:val="aa"/>
              <w:numPr>
                <w:ilvl w:val="0"/>
                <w:numId w:val="7"/>
              </w:numPr>
              <w:jc w:val="both"/>
              <w:rPr>
                <w:rFonts w:ascii="Times New Roman" w:hAnsi="Times New Roman"/>
                <w:lang w:val="uk-UA"/>
              </w:rPr>
            </w:pPr>
            <w:r w:rsidRPr="001F166F">
              <w:rPr>
                <w:rFonts w:ascii="Times New Roman" w:hAnsi="Times New Roman"/>
                <w:lang w:val="uk-UA"/>
              </w:rPr>
              <w:t>Невідповідність намірів забудови вимогам містобудівної документації на місцевому рівні</w:t>
            </w:r>
          </w:p>
        </w:tc>
      </w:tr>
      <w:tr w:rsidR="00B858C3" w:rsidRPr="007062B2" w:rsidTr="003B1A90">
        <w:trPr>
          <w:trHeight w:val="655"/>
        </w:trPr>
        <w:tc>
          <w:tcPr>
            <w:tcW w:w="516" w:type="dxa"/>
          </w:tcPr>
          <w:p w:rsidR="00B858C3" w:rsidRPr="008D2090" w:rsidRDefault="00B94859" w:rsidP="00B858C3">
            <w:pPr>
              <w:jc w:val="both"/>
              <w:rPr>
                <w:rFonts w:ascii="Times New Roman" w:hAnsi="Times New Roman"/>
                <w:lang w:val="uk-UA"/>
              </w:rPr>
            </w:pPr>
            <w:r>
              <w:rPr>
                <w:rFonts w:ascii="Times New Roman" w:hAnsi="Times New Roman"/>
                <w:lang w:val="uk-UA"/>
              </w:rPr>
              <w:t>16</w:t>
            </w:r>
            <w:r w:rsidR="00B858C3"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Результат надання адміністративної послуги</w:t>
            </w:r>
          </w:p>
        </w:tc>
        <w:tc>
          <w:tcPr>
            <w:tcW w:w="5783" w:type="dxa"/>
          </w:tcPr>
          <w:p w:rsidR="001F166F" w:rsidRPr="001F166F" w:rsidRDefault="001F166F" w:rsidP="001F166F">
            <w:pPr>
              <w:pStyle w:val="aa"/>
              <w:numPr>
                <w:ilvl w:val="0"/>
                <w:numId w:val="8"/>
              </w:numPr>
              <w:ind w:left="357" w:hanging="357"/>
              <w:jc w:val="both"/>
              <w:rPr>
                <w:rFonts w:ascii="Times New Roman" w:hAnsi="Times New Roman"/>
                <w:lang w:val="uk-UA"/>
              </w:rPr>
            </w:pPr>
            <w:r w:rsidRPr="001F166F">
              <w:rPr>
                <w:rFonts w:ascii="Times New Roman" w:hAnsi="Times New Roman"/>
                <w:lang w:val="uk-UA"/>
              </w:rPr>
              <w:t>Містобудівні умови та обмеження для проектування об’єкта будівництва зі змінами</w:t>
            </w:r>
          </w:p>
          <w:p w:rsidR="00B858C3" w:rsidRPr="008D2090" w:rsidRDefault="001F166F" w:rsidP="001F166F">
            <w:pPr>
              <w:pStyle w:val="aa"/>
              <w:numPr>
                <w:ilvl w:val="0"/>
                <w:numId w:val="8"/>
              </w:numPr>
              <w:ind w:left="357" w:hanging="357"/>
              <w:jc w:val="both"/>
              <w:rPr>
                <w:rFonts w:ascii="Times New Roman" w:hAnsi="Times New Roman"/>
                <w:lang w:val="uk-UA"/>
              </w:rPr>
            </w:pPr>
            <w:r w:rsidRPr="001F166F">
              <w:rPr>
                <w:rFonts w:ascii="Times New Roman" w:hAnsi="Times New Roman"/>
                <w:lang w:val="uk-UA"/>
              </w:rPr>
              <w:t>Відмова у внесенні змін до містобудівних умов та обмежень для проектування об’єкта будівництва з відповідним обґрунтуванням у строк, який не перевищує строк їх надання</w:t>
            </w:r>
          </w:p>
        </w:tc>
      </w:tr>
      <w:tr w:rsidR="00B858C3" w:rsidRPr="008D2090" w:rsidTr="003B1A90">
        <w:trPr>
          <w:trHeight w:val="645"/>
        </w:trPr>
        <w:tc>
          <w:tcPr>
            <w:tcW w:w="516" w:type="dxa"/>
          </w:tcPr>
          <w:p w:rsidR="00B858C3" w:rsidRPr="008D2090" w:rsidRDefault="00B858C3" w:rsidP="00B94859">
            <w:pPr>
              <w:jc w:val="both"/>
              <w:rPr>
                <w:rFonts w:ascii="Times New Roman" w:hAnsi="Times New Roman"/>
                <w:lang w:val="uk-UA"/>
              </w:rPr>
            </w:pPr>
            <w:r w:rsidRPr="008D2090">
              <w:rPr>
                <w:rFonts w:ascii="Times New Roman" w:hAnsi="Times New Roman"/>
                <w:lang w:val="uk-UA"/>
              </w:rPr>
              <w:t>1</w:t>
            </w:r>
            <w:r w:rsidR="00B94859">
              <w:rPr>
                <w:rFonts w:ascii="Times New Roman" w:hAnsi="Times New Roman"/>
                <w:lang w:val="uk-UA"/>
              </w:rPr>
              <w:t>7</w:t>
            </w:r>
            <w:r w:rsidRPr="008D2090">
              <w:rPr>
                <w:rFonts w:ascii="Times New Roman" w:hAnsi="Times New Roman"/>
                <w:lang w:val="uk-UA"/>
              </w:rPr>
              <w:t>.</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Способи отримання відповіді (результату)</w:t>
            </w:r>
          </w:p>
        </w:tc>
        <w:tc>
          <w:tcPr>
            <w:tcW w:w="5783" w:type="dxa"/>
          </w:tcPr>
          <w:p w:rsidR="00B858C3" w:rsidRPr="008D2090" w:rsidRDefault="003B1A90" w:rsidP="00B858C3">
            <w:pPr>
              <w:jc w:val="both"/>
              <w:rPr>
                <w:rFonts w:ascii="Times New Roman" w:hAnsi="Times New Roman"/>
                <w:lang w:val="uk-UA"/>
              </w:rPr>
            </w:pPr>
            <w:r w:rsidRPr="008D2090">
              <w:rPr>
                <w:rFonts w:ascii="Times New Roman" w:hAnsi="Times New Roman"/>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 або електронною поштою.</w:t>
            </w:r>
          </w:p>
        </w:tc>
      </w:tr>
    </w:tbl>
    <w:p w:rsidR="009B1A3B" w:rsidRPr="009E7A75" w:rsidRDefault="009B1A3B" w:rsidP="007062B2">
      <w:pPr>
        <w:rPr>
          <w:rFonts w:ascii="Times New Roman" w:hAnsi="Times New Roman"/>
        </w:rPr>
      </w:pPr>
      <w:bookmarkStart w:id="0" w:name="_GoBack"/>
      <w:bookmarkEnd w:id="0"/>
    </w:p>
    <w:sectPr w:rsidR="009B1A3B" w:rsidRPr="009E7A75"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45" w:rsidRDefault="00AC4645" w:rsidP="002C0E76">
      <w:r>
        <w:separator/>
      </w:r>
    </w:p>
  </w:endnote>
  <w:endnote w:type="continuationSeparator" w:id="0">
    <w:p w:rsidR="00AC4645" w:rsidRDefault="00AC4645"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e-ukrain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45" w:rsidRDefault="00AC4645" w:rsidP="002C0E76">
      <w:r>
        <w:separator/>
      </w:r>
    </w:p>
  </w:footnote>
  <w:footnote w:type="continuationSeparator" w:id="0">
    <w:p w:rsidR="00AC4645" w:rsidRDefault="00AC4645"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1F36"/>
    <w:multiLevelType w:val="hybridMultilevel"/>
    <w:tmpl w:val="29505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5"/>
  </w:num>
  <w:num w:numId="5">
    <w:abstractNumId w:val="0"/>
  </w:num>
  <w:num w:numId="6">
    <w:abstractNumId w:val="8"/>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3B"/>
    <w:rsid w:val="000047A3"/>
    <w:rsid w:val="00005CF5"/>
    <w:rsid w:val="000A5604"/>
    <w:rsid w:val="000B46D8"/>
    <w:rsid w:val="000D055E"/>
    <w:rsid w:val="000D27B6"/>
    <w:rsid w:val="000E0A99"/>
    <w:rsid w:val="000E6E31"/>
    <w:rsid w:val="000E760B"/>
    <w:rsid w:val="000F6276"/>
    <w:rsid w:val="001F166F"/>
    <w:rsid w:val="002522C9"/>
    <w:rsid w:val="002601B2"/>
    <w:rsid w:val="00281CA2"/>
    <w:rsid w:val="002B3FF6"/>
    <w:rsid w:val="002C0E76"/>
    <w:rsid w:val="002D3CAA"/>
    <w:rsid w:val="003513DD"/>
    <w:rsid w:val="003A7B55"/>
    <w:rsid w:val="003B1A90"/>
    <w:rsid w:val="003B5999"/>
    <w:rsid w:val="003D434F"/>
    <w:rsid w:val="003E7B7F"/>
    <w:rsid w:val="003F31C5"/>
    <w:rsid w:val="00464CE0"/>
    <w:rsid w:val="00472B58"/>
    <w:rsid w:val="00473EA2"/>
    <w:rsid w:val="004B46D0"/>
    <w:rsid w:val="004D77B1"/>
    <w:rsid w:val="005151DD"/>
    <w:rsid w:val="00551951"/>
    <w:rsid w:val="00574ABA"/>
    <w:rsid w:val="0066038A"/>
    <w:rsid w:val="0069562D"/>
    <w:rsid w:val="006A448D"/>
    <w:rsid w:val="006B240C"/>
    <w:rsid w:val="006C64AF"/>
    <w:rsid w:val="006C7BCF"/>
    <w:rsid w:val="007062B2"/>
    <w:rsid w:val="00706F01"/>
    <w:rsid w:val="007144A5"/>
    <w:rsid w:val="00727B3A"/>
    <w:rsid w:val="007915C2"/>
    <w:rsid w:val="007B2C40"/>
    <w:rsid w:val="007C6B54"/>
    <w:rsid w:val="008009AA"/>
    <w:rsid w:val="00841FC1"/>
    <w:rsid w:val="0088106E"/>
    <w:rsid w:val="00887383"/>
    <w:rsid w:val="00891574"/>
    <w:rsid w:val="008A1BD7"/>
    <w:rsid w:val="008D2090"/>
    <w:rsid w:val="008F7A08"/>
    <w:rsid w:val="00904FB1"/>
    <w:rsid w:val="00931C23"/>
    <w:rsid w:val="00970996"/>
    <w:rsid w:val="009B1A3B"/>
    <w:rsid w:val="009E5AB9"/>
    <w:rsid w:val="009E7A75"/>
    <w:rsid w:val="00A07175"/>
    <w:rsid w:val="00A71197"/>
    <w:rsid w:val="00A829D8"/>
    <w:rsid w:val="00AC4645"/>
    <w:rsid w:val="00B17E10"/>
    <w:rsid w:val="00B355A4"/>
    <w:rsid w:val="00B40E25"/>
    <w:rsid w:val="00B82118"/>
    <w:rsid w:val="00B858C3"/>
    <w:rsid w:val="00B8675A"/>
    <w:rsid w:val="00B94859"/>
    <w:rsid w:val="00BD3490"/>
    <w:rsid w:val="00C4250F"/>
    <w:rsid w:val="00C83615"/>
    <w:rsid w:val="00CA74FA"/>
    <w:rsid w:val="00D01B82"/>
    <w:rsid w:val="00D05215"/>
    <w:rsid w:val="00D06BB6"/>
    <w:rsid w:val="00D52438"/>
    <w:rsid w:val="00D71971"/>
    <w:rsid w:val="00D72723"/>
    <w:rsid w:val="00D77628"/>
    <w:rsid w:val="00D94591"/>
    <w:rsid w:val="00D9697A"/>
    <w:rsid w:val="00DA00FF"/>
    <w:rsid w:val="00DF3347"/>
    <w:rsid w:val="00E16FC9"/>
    <w:rsid w:val="00E37B4D"/>
    <w:rsid w:val="00E64595"/>
    <w:rsid w:val="00E946E6"/>
    <w:rsid w:val="00EF38D8"/>
    <w:rsid w:val="00F230F2"/>
    <w:rsid w:val="00F64B8E"/>
    <w:rsid w:val="00F670EB"/>
    <w:rsid w:val="00F67FB4"/>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21">
    <w:name w:val="Quote"/>
    <w:basedOn w:val="a"/>
    <w:next w:val="a"/>
    <w:link w:val="22"/>
    <w:uiPriority w:val="29"/>
    <w:qFormat/>
    <w:rsid w:val="009B1A3B"/>
    <w:rPr>
      <w:i/>
    </w:rPr>
  </w:style>
  <w:style w:type="character" w:customStyle="1" w:styleId="22">
    <w:name w:val="Цитата 2 Знак"/>
    <w:basedOn w:val="a0"/>
    <w:link w:val="21"/>
    <w:uiPriority w:val="29"/>
    <w:rsid w:val="009B1A3B"/>
    <w:rPr>
      <w:i/>
      <w:sz w:val="24"/>
      <w:szCs w:val="24"/>
    </w:rPr>
  </w:style>
  <w:style w:type="paragraph" w:styleId="ab">
    <w:name w:val="Intense Quote"/>
    <w:basedOn w:val="a"/>
    <w:next w:val="a"/>
    <w:link w:val="ac"/>
    <w:uiPriority w:val="30"/>
    <w:qFormat/>
    <w:rsid w:val="009B1A3B"/>
    <w:pPr>
      <w:ind w:left="720" w:right="720"/>
    </w:pPr>
    <w:rPr>
      <w:b/>
      <w:i/>
      <w:szCs w:val="22"/>
    </w:rPr>
  </w:style>
  <w:style w:type="character" w:customStyle="1" w:styleId="ac">
    <w:name w:val="Выделенная цитата Знак"/>
    <w:basedOn w:val="a0"/>
    <w:link w:val="ab"/>
    <w:uiPriority w:val="30"/>
    <w:rsid w:val="009B1A3B"/>
    <w:rPr>
      <w:b/>
      <w:i/>
      <w:sz w:val="24"/>
    </w:rPr>
  </w:style>
  <w:style w:type="character" w:styleId="ad">
    <w:name w:val="Subtle Emphasis"/>
    <w:uiPriority w:val="19"/>
    <w:qFormat/>
    <w:rsid w:val="009B1A3B"/>
    <w:rPr>
      <w:i/>
      <w:color w:val="5A5A5A" w:themeColor="text1" w:themeTint="A5"/>
    </w:rPr>
  </w:style>
  <w:style w:type="character" w:styleId="ae">
    <w:name w:val="Intense Emphasis"/>
    <w:basedOn w:val="a0"/>
    <w:uiPriority w:val="21"/>
    <w:qFormat/>
    <w:rsid w:val="009B1A3B"/>
    <w:rPr>
      <w:b/>
      <w:i/>
      <w:sz w:val="24"/>
      <w:szCs w:val="24"/>
      <w:u w:val="single"/>
    </w:rPr>
  </w:style>
  <w:style w:type="character" w:styleId="af">
    <w:name w:val="Subtle Reference"/>
    <w:basedOn w:val="a0"/>
    <w:uiPriority w:val="31"/>
    <w:qFormat/>
    <w:rsid w:val="009B1A3B"/>
    <w:rPr>
      <w:sz w:val="24"/>
      <w:szCs w:val="24"/>
      <w:u w:val="single"/>
    </w:rPr>
  </w:style>
  <w:style w:type="character" w:styleId="af0">
    <w:name w:val="Intense Reference"/>
    <w:basedOn w:val="a0"/>
    <w:uiPriority w:val="32"/>
    <w:qFormat/>
    <w:rsid w:val="009B1A3B"/>
    <w:rPr>
      <w:b/>
      <w:sz w:val="24"/>
      <w:u w:val="single"/>
    </w:rPr>
  </w:style>
  <w:style w:type="character" w:styleId="af1">
    <w:name w:val="Book Title"/>
    <w:basedOn w:val="a0"/>
    <w:uiPriority w:val="33"/>
    <w:qFormat/>
    <w:rsid w:val="009B1A3B"/>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B1A3B"/>
    <w:pPr>
      <w:outlineLvl w:val="9"/>
    </w:pPr>
  </w:style>
  <w:style w:type="character" w:styleId="af3">
    <w:name w:val="Hyperlink"/>
    <w:basedOn w:val="a0"/>
    <w:uiPriority w:val="99"/>
    <w:unhideWhenUsed/>
    <w:rsid w:val="002C0E76"/>
    <w:rPr>
      <w:color w:val="0000FF" w:themeColor="hyperlink"/>
      <w:u w:val="single"/>
    </w:rPr>
  </w:style>
  <w:style w:type="paragraph" w:styleId="af4">
    <w:name w:val="header"/>
    <w:basedOn w:val="a"/>
    <w:link w:val="af5"/>
    <w:uiPriority w:val="99"/>
    <w:unhideWhenUsed/>
    <w:rsid w:val="002C0E76"/>
    <w:pPr>
      <w:tabs>
        <w:tab w:val="center" w:pos="4677"/>
        <w:tab w:val="right" w:pos="9355"/>
      </w:tabs>
    </w:pPr>
  </w:style>
  <w:style w:type="character" w:customStyle="1" w:styleId="af5">
    <w:name w:val="Верхний колонтитул Знак"/>
    <w:basedOn w:val="a0"/>
    <w:link w:val="af4"/>
    <w:uiPriority w:val="99"/>
    <w:rsid w:val="002C0E76"/>
    <w:rPr>
      <w:sz w:val="24"/>
      <w:szCs w:val="24"/>
    </w:rPr>
  </w:style>
  <w:style w:type="paragraph" w:styleId="af6">
    <w:name w:val="footer"/>
    <w:basedOn w:val="a"/>
    <w:link w:val="af7"/>
    <w:uiPriority w:val="99"/>
    <w:unhideWhenUsed/>
    <w:rsid w:val="002C0E76"/>
    <w:pPr>
      <w:tabs>
        <w:tab w:val="center" w:pos="4677"/>
        <w:tab w:val="right" w:pos="9355"/>
      </w:tabs>
    </w:pPr>
  </w:style>
  <w:style w:type="character" w:customStyle="1" w:styleId="af7">
    <w:name w:val="Нижний колонтитул Знак"/>
    <w:basedOn w:val="a0"/>
    <w:link w:val="af6"/>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8">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rsid w:val="009E7A75"/>
    <w:rPr>
      <w:i/>
      <w:iCs/>
      <w:color w:val="0000FF"/>
    </w:rPr>
  </w:style>
  <w:style w:type="character" w:customStyle="1" w:styleId="st46">
    <w:name w:val="st46"/>
    <w:rsid w:val="009E7A7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tynivka.gromada.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ynovkats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714-17" TargetMode="External"/><Relationship Id="rId5" Type="http://schemas.openxmlformats.org/officeDocument/2006/relationships/footnotes" Target="footnotes.xml"/><Relationship Id="rId10" Type="http://schemas.openxmlformats.org/officeDocument/2006/relationships/hyperlink" Target="https://zakon.rada.gov.ua/laws/show/722-2022-%D0%BF" TargetMode="External"/><Relationship Id="rId4" Type="http://schemas.openxmlformats.org/officeDocument/2006/relationships/webSettings" Target="webSettings.xml"/><Relationship Id="rId9" Type="http://schemas.openxmlformats.org/officeDocument/2006/relationships/hyperlink" Target="https://zakon.rada.gov.ua/laws/show/303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martinivka4</cp:lastModifiedBy>
  <cp:revision>10</cp:revision>
  <dcterms:created xsi:type="dcterms:W3CDTF">2023-04-07T07:10:00Z</dcterms:created>
  <dcterms:modified xsi:type="dcterms:W3CDTF">2023-05-26T10:32:00Z</dcterms:modified>
</cp:coreProperties>
</file>