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Великобагачанської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6F1425" w:rsidRPr="006F1425">
        <w:rPr>
          <w:b/>
          <w:sz w:val="24"/>
          <w:szCs w:val="24"/>
          <w:lang w:val="ru-RU" w:eastAsia="uk-UA"/>
        </w:rPr>
        <w:t xml:space="preserve">30.05.2024 </w:t>
      </w:r>
      <w:proofErr w:type="gramStart"/>
      <w:r w:rsidR="006F1425" w:rsidRPr="006F1425">
        <w:rPr>
          <w:b/>
          <w:sz w:val="24"/>
          <w:szCs w:val="24"/>
          <w:lang w:val="ru-RU" w:eastAsia="uk-UA"/>
        </w:rPr>
        <w:t>року  №</w:t>
      </w:r>
      <w:proofErr w:type="gramEnd"/>
      <w:r w:rsidR="006F1425" w:rsidRPr="006F1425">
        <w:rPr>
          <w:b/>
          <w:sz w:val="24"/>
          <w:szCs w:val="24"/>
          <w:lang w:val="ru-RU" w:eastAsia="uk-UA"/>
        </w:rPr>
        <w:t xml:space="preserve"> 127</w:t>
      </w: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D83AAF" w:rsidRDefault="002C4AA3" w:rsidP="00E47DB8">
      <w:pPr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>07-</w:t>
      </w:r>
      <w:r w:rsidR="00E47DB8">
        <w:rPr>
          <w:u w:val="single"/>
          <w:lang w:eastAsia="ru-RU"/>
        </w:rPr>
        <w:t>90</w:t>
      </w:r>
      <w:r>
        <w:rPr>
          <w:u w:val="single"/>
          <w:lang w:eastAsia="ru-RU"/>
        </w:rPr>
        <w:t xml:space="preserve"> </w:t>
      </w:r>
      <w:r w:rsidR="00E47DB8">
        <w:rPr>
          <w:u w:val="single"/>
          <w:lang w:eastAsia="ru-RU"/>
        </w:rPr>
        <w:t>П</w:t>
      </w:r>
      <w:r w:rsidR="00E47DB8" w:rsidRPr="00E47DB8">
        <w:rPr>
          <w:u w:val="single"/>
          <w:lang w:eastAsia="ru-RU"/>
        </w:rPr>
        <w:t>ризначення</w:t>
      </w:r>
      <w:r w:rsidR="00E47DB8">
        <w:rPr>
          <w:u w:val="single"/>
          <w:lang w:eastAsia="ru-RU"/>
        </w:rPr>
        <w:t xml:space="preserve"> </w:t>
      </w:r>
      <w:r w:rsidR="00E47DB8" w:rsidRPr="00E47DB8">
        <w:rPr>
          <w:u w:val="single"/>
          <w:lang w:eastAsia="ru-RU"/>
        </w:rPr>
        <w:t>щомісячної грошової компенсації на дітей, які навчаються в закладах загальної</w:t>
      </w:r>
      <w:r w:rsidR="00E47DB8">
        <w:rPr>
          <w:u w:val="single"/>
          <w:lang w:eastAsia="ru-RU"/>
        </w:rPr>
        <w:t xml:space="preserve"> </w:t>
      </w:r>
      <w:r w:rsidR="00E47DB8" w:rsidRPr="00E47DB8">
        <w:rPr>
          <w:u w:val="single"/>
          <w:lang w:eastAsia="ru-RU"/>
        </w:rPr>
        <w:t>середньої, професійної (професійно-технічної) освіти, закладах фахової</w:t>
      </w:r>
      <w:r w:rsidR="00E47DB8">
        <w:rPr>
          <w:u w:val="single"/>
          <w:lang w:eastAsia="ru-RU"/>
        </w:rPr>
        <w:t xml:space="preserve"> </w:t>
      </w:r>
      <w:proofErr w:type="spellStart"/>
      <w:r w:rsidR="00E47DB8" w:rsidRPr="00E47DB8">
        <w:rPr>
          <w:u w:val="single"/>
          <w:lang w:eastAsia="ru-RU"/>
        </w:rPr>
        <w:t>передвищої</w:t>
      </w:r>
      <w:proofErr w:type="spellEnd"/>
      <w:r w:rsidR="00E47DB8" w:rsidRPr="00E47DB8">
        <w:rPr>
          <w:u w:val="single"/>
          <w:lang w:eastAsia="ru-RU"/>
        </w:rPr>
        <w:t xml:space="preserve"> освіти, розташованих на територіях радіоактивного забруднення, а</w:t>
      </w:r>
      <w:r w:rsidR="00E47DB8">
        <w:rPr>
          <w:u w:val="single"/>
          <w:lang w:eastAsia="ru-RU"/>
        </w:rPr>
        <w:t xml:space="preserve"> </w:t>
      </w:r>
      <w:r w:rsidR="00E47DB8" w:rsidRPr="00E47DB8">
        <w:rPr>
          <w:u w:val="single"/>
          <w:lang w:eastAsia="ru-RU"/>
        </w:rPr>
        <w:t>також дітей з інвалідністю, пов’язаною з наслідками Чорнобильської катастрофи,</w:t>
      </w:r>
      <w:r w:rsidR="00E47DB8">
        <w:rPr>
          <w:u w:val="single"/>
          <w:lang w:eastAsia="ru-RU"/>
        </w:rPr>
        <w:t xml:space="preserve"> </w:t>
      </w:r>
      <w:r w:rsidR="00E47DB8" w:rsidRPr="00E47DB8">
        <w:rPr>
          <w:u w:val="single"/>
          <w:lang w:eastAsia="ru-RU"/>
        </w:rPr>
        <w:t>і які не харчуються в їдальнях зазначених закладів освіти, а також за всі дні, коли</w:t>
      </w:r>
      <w:r w:rsidR="00E47DB8">
        <w:rPr>
          <w:u w:val="single"/>
          <w:lang w:eastAsia="ru-RU"/>
        </w:rPr>
        <w:t xml:space="preserve"> </w:t>
      </w:r>
      <w:r w:rsidR="00E47DB8" w:rsidRPr="00E47DB8">
        <w:rPr>
          <w:u w:val="single"/>
          <w:lang w:eastAsia="ru-RU"/>
        </w:rPr>
        <w:t>перелічені особи не відвідували ці заклади</w:t>
      </w:r>
      <w:r w:rsidR="00E47DB8">
        <w:rPr>
          <w:u w:val="single"/>
          <w:lang w:eastAsia="ru-RU"/>
        </w:rPr>
        <w:t>, до досягнення ними повноліття</w:t>
      </w:r>
    </w:p>
    <w:p w:rsidR="00D83AAF" w:rsidRDefault="00D83AAF" w:rsidP="007373D2">
      <w:pPr>
        <w:jc w:val="center"/>
        <w:rPr>
          <w:u w:val="single"/>
          <w:lang w:eastAsia="ru-RU"/>
        </w:rPr>
      </w:pPr>
    </w:p>
    <w:p w:rsidR="00E2726E" w:rsidRPr="00B92BC7" w:rsidRDefault="00E2726E" w:rsidP="007373D2">
      <w:pPr>
        <w:jc w:val="center"/>
        <w:rPr>
          <w:sz w:val="24"/>
          <w:lang w:val="ru-RU" w:eastAsia="uk-UA"/>
        </w:rPr>
      </w:pPr>
      <w:proofErr w:type="spellStart"/>
      <w:r w:rsidRPr="00E2726E">
        <w:rPr>
          <w:sz w:val="24"/>
          <w:lang w:val="ru-RU" w:eastAsia="uk-UA"/>
        </w:rPr>
        <w:t>Відділ</w:t>
      </w:r>
      <w:proofErr w:type="spellEnd"/>
      <w:r w:rsidRPr="00E2726E">
        <w:rPr>
          <w:sz w:val="24"/>
          <w:lang w:val="ru-RU" w:eastAsia="uk-UA"/>
        </w:rPr>
        <w:t xml:space="preserve"> «Центр </w:t>
      </w:r>
      <w:proofErr w:type="spellStart"/>
      <w:r w:rsidRPr="00E2726E">
        <w:rPr>
          <w:sz w:val="24"/>
          <w:lang w:val="ru-RU" w:eastAsia="uk-UA"/>
        </w:rPr>
        <w:t>надання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адміністративних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послуг</w:t>
      </w:r>
      <w:proofErr w:type="spellEnd"/>
      <w:r w:rsidRPr="00E2726E">
        <w:rPr>
          <w:sz w:val="24"/>
          <w:lang w:val="ru-RU" w:eastAsia="uk-UA"/>
        </w:rPr>
        <w:t xml:space="preserve">» </w:t>
      </w:r>
      <w:proofErr w:type="spellStart"/>
      <w:r w:rsidRPr="00E2726E">
        <w:rPr>
          <w:sz w:val="24"/>
          <w:lang w:val="ru-RU" w:eastAsia="uk-UA"/>
        </w:rPr>
        <w:t>виконавчого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комітету</w:t>
      </w:r>
      <w:proofErr w:type="spellEnd"/>
      <w:r w:rsidRPr="00E2726E">
        <w:rPr>
          <w:sz w:val="24"/>
          <w:lang w:val="ru-RU" w:eastAsia="uk-UA"/>
        </w:rPr>
        <w:t xml:space="preserve"> Великобагачанської </w:t>
      </w:r>
      <w:proofErr w:type="spellStart"/>
      <w:r w:rsidRPr="00E2726E">
        <w:rPr>
          <w:sz w:val="24"/>
          <w:lang w:val="ru-RU" w:eastAsia="uk-UA"/>
        </w:rPr>
        <w:t>селищної</w:t>
      </w:r>
      <w:proofErr w:type="spellEnd"/>
      <w:r w:rsidRPr="00E2726E">
        <w:rPr>
          <w:sz w:val="24"/>
          <w:lang w:val="ru-RU" w:eastAsia="uk-UA"/>
        </w:rPr>
        <w:t xml:space="preserve"> ради</w:t>
      </w:r>
    </w:p>
    <w:tbl>
      <w:tblPr>
        <w:tblW w:w="5745" w:type="pct"/>
        <w:tblInd w:w="-128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7653"/>
      </w:tblGrid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553445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E2726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E2726E" w:rsidRPr="00EE3E50" w:rsidRDefault="00E2726E" w:rsidP="00E2726E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AAF" w:rsidRPr="00D83AAF" w:rsidRDefault="00E47DB8" w:rsidP="00E47DB8">
            <w:pPr>
              <w:rPr>
                <w:sz w:val="24"/>
              </w:rPr>
            </w:pPr>
            <w:r w:rsidRPr="00E47DB8">
              <w:rPr>
                <w:sz w:val="24"/>
              </w:rPr>
              <w:t>Закон України „Про статус і соціальний захист громадян, які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постраждали внаслідок Чорнобильської катастрофи” від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28.02.1991 № 796-XII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D83AAF" w:rsidRDefault="00E47DB8" w:rsidP="00E47DB8">
            <w:pPr>
              <w:rPr>
                <w:sz w:val="24"/>
              </w:rPr>
            </w:pPr>
            <w:r w:rsidRPr="00E47DB8">
              <w:rPr>
                <w:sz w:val="24"/>
              </w:rPr>
              <w:t>Постанови Кабінету Міністрів України від 20.09.2005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№ 936 „Про затвердження Порядку використання коштів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державного бюджету для виконання програм, пов’язаних із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соціальним захистом громадян, які постраждали внаслідок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Чорнобильської катастрофи” (зі змінами); від 08.02.1997 № 155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„Про порядок та розміри компенсаційних виплат дітям, які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потерпіли внаслідок Чорнобильської катастрофи” (зі змінами)</w:t>
            </w:r>
          </w:p>
        </w:tc>
      </w:tr>
      <w:tr w:rsidR="00D83AAF" w:rsidRPr="00E855F0" w:rsidTr="0051137E">
        <w:trPr>
          <w:trHeight w:val="515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0C0F59" w:rsidRDefault="00D83AAF" w:rsidP="00D83AAF">
            <w:pPr>
              <w:rPr>
                <w:color w:val="000000" w:themeColor="text1"/>
                <w:sz w:val="24"/>
              </w:rPr>
            </w:pPr>
            <w:r w:rsidRPr="000C0F59">
              <w:rPr>
                <w:color w:val="000000" w:themeColor="text1"/>
                <w:sz w:val="24"/>
              </w:rPr>
              <w:t>Акти центральних органів виконавчої влади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D83AAF" w:rsidRDefault="00E47DB8" w:rsidP="00E47DB8">
            <w:pPr>
              <w:rPr>
                <w:sz w:val="24"/>
              </w:rPr>
            </w:pPr>
            <w:r w:rsidRPr="00E47DB8">
              <w:rPr>
                <w:sz w:val="24"/>
              </w:rPr>
              <w:t>Наказ Міністерства соціальної політики України від 09.01.2023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№ 3 ,,Про затвердження форми Заяви про призначення усіх видів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соціальної допомоги та компенсацій”, зареєстрований у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Міністерстві юстиції України 23.01.2023 за № 145/39201</w:t>
            </w:r>
          </w:p>
        </w:tc>
      </w:tr>
      <w:tr w:rsidR="00834B53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7B1B" w:rsidRPr="000C0F59" w:rsidRDefault="00E47DB8" w:rsidP="00E47DB8">
            <w:pPr>
              <w:ind w:firstLine="8"/>
              <w:rPr>
                <w:sz w:val="24"/>
              </w:rPr>
            </w:pPr>
            <w:r w:rsidRPr="00E47DB8">
              <w:rPr>
                <w:sz w:val="24"/>
              </w:rPr>
              <w:t>Діти, які навчаються в закладах загальної середньої, професійної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 xml:space="preserve">(професійно-технічної) освіти, закладах фахової </w:t>
            </w:r>
            <w:proofErr w:type="spellStart"/>
            <w:r w:rsidRPr="00E47DB8"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освіти, розташованих на територіях радіоактивного забруднення,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 xml:space="preserve">а також діти з </w:t>
            </w:r>
            <w:r w:rsidRPr="00E47DB8">
              <w:rPr>
                <w:sz w:val="24"/>
              </w:rPr>
              <w:lastRenderedPageBreak/>
              <w:t>інвалідністю, пов’язаною з наслідками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Чорнобильської катастрофи, не харчуються в їдальнях зазначених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закладів освіти</w:t>
            </w:r>
          </w:p>
        </w:tc>
      </w:tr>
      <w:tr w:rsidR="00ED13E8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3E8" w:rsidRPr="00E855F0" w:rsidRDefault="0051137E" w:rsidP="00ED13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3E8" w:rsidRPr="00E855F0" w:rsidRDefault="00ED13E8" w:rsidP="00ED13E8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DB8" w:rsidRPr="00E47DB8" w:rsidRDefault="00E47DB8" w:rsidP="00E47DB8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47DB8">
              <w:rPr>
                <w:sz w:val="24"/>
              </w:rPr>
              <w:t>Заява за формою, затвердженою наказом Міністерства соціальної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політики України від 09.01.2023 № 3 ,,Про затвердження форми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Заяви про призначення усіх видів соціальної допомоги та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компенсацій”, зареєстрованим у Міністерстві юстиції України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23.01.2023 за № 145/39201;</w:t>
            </w:r>
          </w:p>
          <w:p w:rsidR="00E47DB8" w:rsidRPr="00E47DB8" w:rsidRDefault="00E47DB8" w:rsidP="00E47DB8">
            <w:pPr>
              <w:pStyle w:val="ab"/>
              <w:keepNext/>
              <w:ind w:left="1" w:firstLine="281"/>
              <w:rPr>
                <w:sz w:val="24"/>
              </w:rPr>
            </w:pPr>
            <w:r w:rsidRPr="00E47DB8">
              <w:rPr>
                <w:sz w:val="24"/>
              </w:rPr>
              <w:t>паспорт громадянина України, або інший документ, що посвідчує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особу;</w:t>
            </w:r>
          </w:p>
          <w:p w:rsidR="00E47DB8" w:rsidRPr="00E47DB8" w:rsidRDefault="00E47DB8" w:rsidP="00E47DB8">
            <w:pPr>
              <w:pStyle w:val="ab"/>
              <w:keepNext/>
              <w:ind w:left="1" w:firstLine="281"/>
              <w:rPr>
                <w:sz w:val="24"/>
              </w:rPr>
            </w:pPr>
            <w:r w:rsidRPr="00E47DB8">
              <w:rPr>
                <w:sz w:val="24"/>
              </w:rPr>
              <w:t>довідка про присвоєння реєстраційного номера облікової картки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платника податків (не подається особами, які через свої релігійні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переконання відмовляються від прийняття реєстраційного номера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облікової картки платника податків та повідомили про це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відповідний контролюючий орган і мають відмітку в паспорті);</w:t>
            </w:r>
          </w:p>
          <w:p w:rsidR="00E47DB8" w:rsidRPr="00E47DB8" w:rsidRDefault="00E47DB8" w:rsidP="00E47DB8">
            <w:pPr>
              <w:pStyle w:val="ab"/>
              <w:keepNext/>
              <w:ind w:left="1" w:firstLine="281"/>
              <w:rPr>
                <w:sz w:val="24"/>
              </w:rPr>
            </w:pPr>
            <w:r w:rsidRPr="00E47DB8">
              <w:rPr>
                <w:sz w:val="24"/>
              </w:rPr>
              <w:t>свідоцтво про народження дитини;</w:t>
            </w:r>
          </w:p>
          <w:p w:rsidR="00E47DB8" w:rsidRPr="00E47DB8" w:rsidRDefault="00E47DB8" w:rsidP="00E47DB8">
            <w:pPr>
              <w:pStyle w:val="ab"/>
              <w:keepNext/>
              <w:ind w:left="1" w:firstLine="281"/>
              <w:rPr>
                <w:sz w:val="24"/>
              </w:rPr>
            </w:pPr>
            <w:r w:rsidRPr="00E47DB8">
              <w:rPr>
                <w:sz w:val="24"/>
              </w:rPr>
              <w:t>рахунок з банку для соціальних виплат (за стандартом IBAN);</w:t>
            </w:r>
          </w:p>
          <w:p w:rsidR="00E47DB8" w:rsidRPr="00E47DB8" w:rsidRDefault="00E47DB8" w:rsidP="00E47DB8">
            <w:pPr>
              <w:pStyle w:val="ab"/>
              <w:keepNext/>
              <w:ind w:left="1" w:firstLine="281"/>
              <w:rPr>
                <w:sz w:val="24"/>
              </w:rPr>
            </w:pPr>
            <w:r w:rsidRPr="00E47DB8">
              <w:rPr>
                <w:sz w:val="24"/>
              </w:rPr>
              <w:t>посвідчення дитини, яка потерпіла від Чорнобильської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катастрофи / посвідчення дитини, яка потерпіла від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Чорнобильської катастрофи, з вкладкою встановленого зразка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(для дітей, яким установлено причинний зв’язок інвалідності з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Чорнобильською катастрофою);</w:t>
            </w:r>
          </w:p>
          <w:p w:rsidR="00B43AF1" w:rsidRPr="00ED13E8" w:rsidRDefault="00E47DB8" w:rsidP="00E47DB8">
            <w:pPr>
              <w:pStyle w:val="ab"/>
              <w:keepNext/>
              <w:ind w:left="1" w:firstLine="281"/>
              <w:rPr>
                <w:sz w:val="24"/>
              </w:rPr>
            </w:pPr>
            <w:r w:rsidRPr="00E47DB8">
              <w:rPr>
                <w:sz w:val="24"/>
              </w:rPr>
              <w:t>довідка, видана закладом освіти, про незабезпеченість дитини</w:t>
            </w:r>
            <w:r>
              <w:rPr>
                <w:sz w:val="24"/>
              </w:rPr>
              <w:t xml:space="preserve"> </w:t>
            </w:r>
            <w:r w:rsidRPr="00E47DB8">
              <w:rPr>
                <w:sz w:val="24"/>
              </w:rPr>
              <w:t>харчуванням у їдальні з вказівкою кількості днів</w:t>
            </w:r>
            <w:r w:rsidR="007E3C6A">
              <w:rPr>
                <w:sz w:val="24"/>
              </w:rPr>
              <w:t>.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3C6A" w:rsidRPr="007E3C6A" w:rsidRDefault="007E3C6A" w:rsidP="007E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E3C6A">
              <w:rPr>
                <w:sz w:val="24"/>
              </w:rPr>
              <w:t>Заява та документи, необхідні для призначення щомісячної</w:t>
            </w:r>
            <w:r>
              <w:rPr>
                <w:sz w:val="24"/>
              </w:rPr>
              <w:t xml:space="preserve"> </w:t>
            </w:r>
            <w:r w:rsidRPr="007E3C6A">
              <w:rPr>
                <w:sz w:val="24"/>
              </w:rPr>
              <w:t>грошової компенсації, подаються особою суб’єкту надання</w:t>
            </w:r>
            <w:r>
              <w:rPr>
                <w:sz w:val="24"/>
              </w:rPr>
              <w:t xml:space="preserve"> </w:t>
            </w:r>
            <w:r w:rsidRPr="007E3C6A">
              <w:rPr>
                <w:sz w:val="24"/>
              </w:rPr>
              <w:t>адміністративної послуги:</w:t>
            </w:r>
          </w:p>
          <w:p w:rsidR="007E3C6A" w:rsidRPr="007E3C6A" w:rsidRDefault="007E3C6A" w:rsidP="007E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E3C6A">
              <w:rPr>
                <w:sz w:val="24"/>
              </w:rPr>
              <w:t>через уповноважених осіб виконавчого органу сільської,</w:t>
            </w:r>
            <w:r>
              <w:rPr>
                <w:sz w:val="24"/>
              </w:rPr>
              <w:t xml:space="preserve"> </w:t>
            </w:r>
            <w:r w:rsidRPr="007E3C6A">
              <w:rPr>
                <w:sz w:val="24"/>
              </w:rPr>
              <w:t>селищної, міської ради відповідної територіальної громади;</w:t>
            </w:r>
          </w:p>
          <w:p w:rsidR="007E3C6A" w:rsidRPr="007E3C6A" w:rsidRDefault="007E3C6A" w:rsidP="007E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E3C6A">
              <w:rPr>
                <w:sz w:val="24"/>
              </w:rPr>
              <w:t>посадових осіб центру надання адміністративних послуг;</w:t>
            </w:r>
          </w:p>
          <w:p w:rsidR="000C0F59" w:rsidRPr="000C0F59" w:rsidRDefault="007E3C6A" w:rsidP="007E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</w:rPr>
              <w:t xml:space="preserve">   </w:t>
            </w:r>
            <w:r w:rsidRPr="007E3C6A">
              <w:rPr>
                <w:sz w:val="24"/>
              </w:rPr>
              <w:t>поштою або в електронній формі через офіційний веб-сайт</w:t>
            </w:r>
            <w:r>
              <w:rPr>
                <w:sz w:val="24"/>
              </w:rPr>
              <w:t xml:space="preserve"> </w:t>
            </w:r>
            <w:proofErr w:type="spellStart"/>
            <w:r w:rsidRPr="007E3C6A">
              <w:rPr>
                <w:sz w:val="24"/>
              </w:rPr>
              <w:t>Мінсоцполітики</w:t>
            </w:r>
            <w:proofErr w:type="spellEnd"/>
            <w:r w:rsidRPr="007E3C6A">
              <w:rPr>
                <w:sz w:val="24"/>
              </w:rPr>
              <w:t xml:space="preserve"> або інтегровані з ним інформаційні системи</w:t>
            </w:r>
            <w:r>
              <w:rPr>
                <w:sz w:val="24"/>
              </w:rPr>
              <w:t xml:space="preserve"> </w:t>
            </w:r>
            <w:r w:rsidRPr="007E3C6A">
              <w:rPr>
                <w:sz w:val="24"/>
              </w:rPr>
              <w:t>органів виконавчої влади та органів місцевого</w:t>
            </w:r>
            <w:r>
              <w:rPr>
                <w:sz w:val="24"/>
              </w:rPr>
              <w:t xml:space="preserve"> </w:t>
            </w:r>
            <w:r w:rsidRPr="007E3C6A">
              <w:rPr>
                <w:sz w:val="24"/>
              </w:rPr>
              <w:t>самоврядування, або Єдиний державний веб-портал</w:t>
            </w:r>
            <w:r>
              <w:rPr>
                <w:sz w:val="24"/>
              </w:rPr>
              <w:t xml:space="preserve"> </w:t>
            </w:r>
            <w:r w:rsidRPr="007E3C6A">
              <w:rPr>
                <w:sz w:val="24"/>
              </w:rPr>
              <w:t>електронних послуг (у разі технічної можливості)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7E3C6A" w:rsidP="007E3C6A">
            <w:pPr>
              <w:pStyle w:val="rvps2"/>
              <w:shd w:val="clear" w:color="auto" w:fill="FFFFFF"/>
              <w:jc w:val="both"/>
              <w:rPr>
                <w:lang w:val="uk-UA"/>
              </w:rPr>
            </w:pPr>
            <w:r w:rsidRPr="007E3C6A">
              <w:rPr>
                <w:lang w:val="uk-UA"/>
              </w:rPr>
              <w:t>Призначення / відмова у призначенні щомісячної грошової</w:t>
            </w:r>
            <w:r>
              <w:rPr>
                <w:lang w:val="uk-UA"/>
              </w:rPr>
              <w:t xml:space="preserve"> </w:t>
            </w:r>
            <w:r w:rsidRPr="007E3C6A">
              <w:rPr>
                <w:lang w:val="uk-UA"/>
              </w:rPr>
              <w:t>компенсації здійснюється протягом 10 робочих днів з дати</w:t>
            </w:r>
            <w:r>
              <w:rPr>
                <w:lang w:val="uk-UA"/>
              </w:rPr>
              <w:t xml:space="preserve"> </w:t>
            </w:r>
            <w:r w:rsidRPr="007E3C6A">
              <w:rPr>
                <w:lang w:val="uk-UA"/>
              </w:rPr>
              <w:t xml:space="preserve">надходження заяви та </w:t>
            </w:r>
            <w:r>
              <w:rPr>
                <w:lang w:val="uk-UA"/>
              </w:rPr>
              <w:t xml:space="preserve"> н</w:t>
            </w:r>
            <w:r w:rsidRPr="007E3C6A">
              <w:rPr>
                <w:lang w:val="uk-UA"/>
              </w:rPr>
              <w:t>еобхідних документів до суб’єкта надання</w:t>
            </w:r>
            <w:r>
              <w:rPr>
                <w:lang w:val="uk-UA"/>
              </w:rPr>
              <w:t xml:space="preserve"> </w:t>
            </w:r>
            <w:r w:rsidRPr="007E3C6A">
              <w:rPr>
                <w:lang w:val="uk-UA"/>
              </w:rPr>
              <w:t>адміністративної послуги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7E3C6A" w:rsidRDefault="00626A53" w:rsidP="00626A53">
            <w:pPr>
              <w:pStyle w:val="a6"/>
              <w:rPr>
                <w:sz w:val="24"/>
                <w:szCs w:val="24"/>
                <w:lang w:eastAsia="uk-UA"/>
              </w:rPr>
            </w:pPr>
            <w:r w:rsidRPr="00626A53">
              <w:rPr>
                <w:sz w:val="24"/>
                <w:szCs w:val="24"/>
                <w:lang w:eastAsia="uk-UA"/>
              </w:rPr>
              <w:t>Подання неповного пакета документів</w:t>
            </w:r>
            <w:r w:rsidR="007E3C6A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7E3C6A" w:rsidP="007E3C6A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7E3C6A">
              <w:rPr>
                <w:sz w:val="24"/>
                <w:shd w:val="clear" w:color="auto" w:fill="FFFFFF"/>
              </w:rPr>
              <w:t>Призначення щомісячної грошової компенсації / відмова у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7E3C6A">
              <w:rPr>
                <w:sz w:val="24"/>
                <w:shd w:val="clear" w:color="auto" w:fill="FFFFFF"/>
              </w:rPr>
              <w:t>призначенні щомісячної грошової компенсації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7E3C6A" w:rsidP="007E3C6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7E3C6A">
              <w:rPr>
                <w:sz w:val="24"/>
                <w:szCs w:val="24"/>
                <w:lang w:eastAsia="uk-UA"/>
              </w:rPr>
              <w:t>Зарахування щомісячної грошової компенсації на банківський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E3C6A">
              <w:rPr>
                <w:sz w:val="24"/>
                <w:szCs w:val="24"/>
                <w:lang w:eastAsia="uk-UA"/>
              </w:rPr>
              <w:t>рахунок у банку, в якому відкрито рахунок одержувача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887341" w:rsidRDefault="00887341"/>
    <w:p w:rsidR="00026B7B" w:rsidRPr="00C06823" w:rsidRDefault="00777B1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</w:t>
      </w:r>
      <w:r w:rsidR="00C06823">
        <w:rPr>
          <w:sz w:val="24"/>
        </w:rPr>
        <w:t xml:space="preserve"> </w:t>
      </w:r>
      <w:r w:rsidR="00026B7B" w:rsidRPr="00C06823">
        <w:rPr>
          <w:sz w:val="24"/>
        </w:rPr>
        <w:t>ЗАТВЕРДЖЕНО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Рішенням виконавчого комітету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>Великобагачанської селищної ради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 xml:space="preserve">  </w:t>
      </w:r>
      <w:r w:rsidR="006F1425" w:rsidRPr="006F1425">
        <w:rPr>
          <w:sz w:val="24"/>
        </w:rPr>
        <w:t>30.05.2024 року  № 127</w:t>
      </w:r>
      <w:bookmarkStart w:id="0" w:name="_GoBack"/>
      <w:bookmarkEnd w:id="0"/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0"/>
          <w:szCs w:val="22"/>
        </w:rPr>
      </w:pPr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center"/>
        <w:rPr>
          <w:sz w:val="24"/>
        </w:rPr>
      </w:pPr>
      <w:r w:rsidRPr="00C06823">
        <w:rPr>
          <w:sz w:val="24"/>
        </w:rPr>
        <w:t>ТЕХНОЛОГІЧНА КАРТКА АДМІНІСТРАТИВНОЇ ПОСЛУГИ</w:t>
      </w:r>
    </w:p>
    <w:p w:rsidR="00763B72" w:rsidRDefault="00E47DB8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E47DB8">
        <w:rPr>
          <w:u w:val="single"/>
        </w:rPr>
        <w:t xml:space="preserve">07-90 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</w:r>
      <w:proofErr w:type="spellStart"/>
      <w:r w:rsidRPr="00E47DB8">
        <w:rPr>
          <w:u w:val="single"/>
        </w:rPr>
        <w:t>передвищої</w:t>
      </w:r>
      <w:proofErr w:type="spellEnd"/>
      <w:r w:rsidRPr="00E47DB8">
        <w:rPr>
          <w:u w:val="single"/>
        </w:rPr>
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</w:r>
    </w:p>
    <w:p w:rsidR="00E47DB8" w:rsidRDefault="00E47DB8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</w:p>
    <w:p w:rsidR="00E2726E" w:rsidRPr="00D83AAF" w:rsidRDefault="00E2726E" w:rsidP="002870A6">
      <w:pPr>
        <w:tabs>
          <w:tab w:val="left" w:pos="5670"/>
        </w:tabs>
        <w:spacing w:line="252" w:lineRule="auto"/>
        <w:jc w:val="center"/>
        <w:rPr>
          <w:sz w:val="22"/>
        </w:rPr>
      </w:pPr>
      <w:r w:rsidRPr="00D83AAF">
        <w:rPr>
          <w:sz w:val="22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54"/>
        <w:gridCol w:w="1780"/>
        <w:gridCol w:w="2823"/>
        <w:gridCol w:w="1777"/>
      </w:tblGrid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Pr="00D9079C" w:rsidRDefault="00580673" w:rsidP="00C15B99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580673" w:rsidRPr="00D9079C" w:rsidRDefault="00580673" w:rsidP="00C15B99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Pr="00D9079C" w:rsidRDefault="00580673" w:rsidP="00C15B99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адмістративної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Pr="00D9079C" w:rsidRDefault="00580673" w:rsidP="00C15B99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особа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Pr="00D9079C" w:rsidRDefault="00580673" w:rsidP="00C15B99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підрозділи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Pr="00D9079C" w:rsidRDefault="00580673" w:rsidP="00C15B99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етапів</w:t>
            </w:r>
            <w:proofErr w:type="spellEnd"/>
          </w:p>
        </w:tc>
      </w:tr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3" w:rsidRPr="00D9079C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Прийом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9079C">
              <w:rPr>
                <w:rFonts w:eastAsia="Calibri"/>
                <w:sz w:val="24"/>
                <w:szCs w:val="24"/>
                <w:lang w:val="ru-RU"/>
              </w:rPr>
              <w:t>реєстрація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письмової</w:t>
            </w:r>
            <w:proofErr w:type="spellEnd"/>
            <w:proofErr w:type="gram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необхідних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3" w:rsidRPr="00D9079C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пакету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заявника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суб’єкту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відповідальній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особі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3" w:rsidRPr="00D9079C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Розгляд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і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перевірка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поданих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3" w:rsidRPr="00D9079C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3" w:rsidRPr="00D9079C" w:rsidRDefault="00580673" w:rsidP="00580673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Видача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відмови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580673" w:rsidRPr="00D9079C" w:rsidRDefault="00580673" w:rsidP="00580673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Після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580673" w:rsidRPr="00D9079C" w:rsidTr="0058067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73" w:rsidRPr="00D9079C" w:rsidRDefault="00580673" w:rsidP="00C15B99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Pr="00D9079C" w:rsidRDefault="00580673" w:rsidP="00C15B99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73" w:rsidRDefault="00580673" w:rsidP="00C15B99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</w:p>
          <w:p w:rsidR="00580673" w:rsidRPr="00D9079C" w:rsidRDefault="00580673" w:rsidP="00C15B99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26B7B" w:rsidRPr="00026B7B" w:rsidRDefault="00026B7B" w:rsidP="00580673">
      <w:pPr>
        <w:jc w:val="left"/>
        <w:rPr>
          <w:sz w:val="24"/>
          <w:szCs w:val="24"/>
        </w:rPr>
      </w:pPr>
    </w:p>
    <w:sectPr w:rsidR="00026B7B" w:rsidRPr="00026B7B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0F" w:rsidRDefault="00EB3A0F">
      <w:r>
        <w:separator/>
      </w:r>
    </w:p>
  </w:endnote>
  <w:endnote w:type="continuationSeparator" w:id="0">
    <w:p w:rsidR="00EB3A0F" w:rsidRDefault="00E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0F" w:rsidRDefault="00EB3A0F">
      <w:r>
        <w:separator/>
      </w:r>
    </w:p>
  </w:footnote>
  <w:footnote w:type="continuationSeparator" w:id="0">
    <w:p w:rsidR="00EB3A0F" w:rsidRDefault="00EB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4B" w:rsidRPr="003945B6" w:rsidRDefault="00A9024B">
    <w:pPr>
      <w:pStyle w:val="a3"/>
      <w:jc w:val="center"/>
      <w:rPr>
        <w:sz w:val="24"/>
        <w:szCs w:val="24"/>
      </w:rPr>
    </w:pPr>
  </w:p>
  <w:p w:rsidR="00A9024B" w:rsidRDefault="00A9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102C"/>
    <w:rsid w:val="00026B7B"/>
    <w:rsid w:val="000B25B4"/>
    <w:rsid w:val="000C0F59"/>
    <w:rsid w:val="000D4F0D"/>
    <w:rsid w:val="000E493A"/>
    <w:rsid w:val="00101819"/>
    <w:rsid w:val="00153018"/>
    <w:rsid w:val="00162556"/>
    <w:rsid w:val="001D733F"/>
    <w:rsid w:val="0025095C"/>
    <w:rsid w:val="002520C1"/>
    <w:rsid w:val="002870A6"/>
    <w:rsid w:val="002A3F7E"/>
    <w:rsid w:val="002C4AA3"/>
    <w:rsid w:val="002E2DE8"/>
    <w:rsid w:val="002E4870"/>
    <w:rsid w:val="0034383D"/>
    <w:rsid w:val="00381354"/>
    <w:rsid w:val="00385039"/>
    <w:rsid w:val="003D3D5F"/>
    <w:rsid w:val="00417C28"/>
    <w:rsid w:val="0043160F"/>
    <w:rsid w:val="004B5CA2"/>
    <w:rsid w:val="0051137E"/>
    <w:rsid w:val="00561077"/>
    <w:rsid w:val="00580673"/>
    <w:rsid w:val="005934A5"/>
    <w:rsid w:val="005B4822"/>
    <w:rsid w:val="00624205"/>
    <w:rsid w:val="00626A53"/>
    <w:rsid w:val="00643447"/>
    <w:rsid w:val="00664601"/>
    <w:rsid w:val="00676B6A"/>
    <w:rsid w:val="006773B9"/>
    <w:rsid w:val="00686B51"/>
    <w:rsid w:val="00687251"/>
    <w:rsid w:val="006F1425"/>
    <w:rsid w:val="006F4626"/>
    <w:rsid w:val="007373D2"/>
    <w:rsid w:val="00763B72"/>
    <w:rsid w:val="00766268"/>
    <w:rsid w:val="007722A6"/>
    <w:rsid w:val="00777B1B"/>
    <w:rsid w:val="007826AB"/>
    <w:rsid w:val="00785DA3"/>
    <w:rsid w:val="007905F1"/>
    <w:rsid w:val="00790AB4"/>
    <w:rsid w:val="007A0049"/>
    <w:rsid w:val="007E3C6A"/>
    <w:rsid w:val="007E3FEA"/>
    <w:rsid w:val="008254E9"/>
    <w:rsid w:val="00827631"/>
    <w:rsid w:val="00834B53"/>
    <w:rsid w:val="00877C78"/>
    <w:rsid w:val="00887341"/>
    <w:rsid w:val="00891C99"/>
    <w:rsid w:val="00892DF3"/>
    <w:rsid w:val="008E4485"/>
    <w:rsid w:val="00930C71"/>
    <w:rsid w:val="009444D3"/>
    <w:rsid w:val="009A763C"/>
    <w:rsid w:val="00A00A78"/>
    <w:rsid w:val="00A4452F"/>
    <w:rsid w:val="00A8210D"/>
    <w:rsid w:val="00A9024B"/>
    <w:rsid w:val="00AB7512"/>
    <w:rsid w:val="00AE2EFF"/>
    <w:rsid w:val="00B4100F"/>
    <w:rsid w:val="00B43AF1"/>
    <w:rsid w:val="00B5210D"/>
    <w:rsid w:val="00B54968"/>
    <w:rsid w:val="00B67226"/>
    <w:rsid w:val="00B8685A"/>
    <w:rsid w:val="00B92BC7"/>
    <w:rsid w:val="00BB623E"/>
    <w:rsid w:val="00C06823"/>
    <w:rsid w:val="00C842F1"/>
    <w:rsid w:val="00C87DA0"/>
    <w:rsid w:val="00CA1B5E"/>
    <w:rsid w:val="00CE50DB"/>
    <w:rsid w:val="00CF13C0"/>
    <w:rsid w:val="00D141DF"/>
    <w:rsid w:val="00D228D1"/>
    <w:rsid w:val="00D50DE3"/>
    <w:rsid w:val="00D773C8"/>
    <w:rsid w:val="00D83AAF"/>
    <w:rsid w:val="00DA1CB6"/>
    <w:rsid w:val="00DA7CCB"/>
    <w:rsid w:val="00DB553A"/>
    <w:rsid w:val="00DD155B"/>
    <w:rsid w:val="00E2726E"/>
    <w:rsid w:val="00E34A18"/>
    <w:rsid w:val="00E4458C"/>
    <w:rsid w:val="00E47DB8"/>
    <w:rsid w:val="00E855F0"/>
    <w:rsid w:val="00EB3A0F"/>
    <w:rsid w:val="00EC5E54"/>
    <w:rsid w:val="00ED13E8"/>
    <w:rsid w:val="00F021EE"/>
    <w:rsid w:val="00F056AE"/>
    <w:rsid w:val="00F266AC"/>
    <w:rsid w:val="00F37FE1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F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5210D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12</cp:revision>
  <cp:lastPrinted>2023-11-23T16:24:00Z</cp:lastPrinted>
  <dcterms:created xsi:type="dcterms:W3CDTF">2024-05-02T07:08:00Z</dcterms:created>
  <dcterms:modified xsi:type="dcterms:W3CDTF">2024-06-03T06:57:00Z</dcterms:modified>
</cp:coreProperties>
</file>