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ОБГРУНТУВАННЯ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до проєкту рішення Южненської міської ради Одеського району Одеської області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“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cs="Times New Roman" w:ascii="Times New Roman" w:hAnsi="Times New Roman"/>
          <w:b/>
          <w:bCs/>
          <w:sz w:val="24"/>
          <w:szCs w:val="24"/>
          <w:lang w:val="uk-UA" w:eastAsia="ru-RU"/>
        </w:rPr>
        <w:t>затвердження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Цільової соціальної програми “Молодь Южненської міської територіальної громади” на 2025-2027 роки”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/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</w:rPr>
        <w:t>Метою програми є створення можливостей для самореалізації та розвитку потенціалу молоді в міській територіальній громаді через підвищення спроможності інститутів громадянського суспільства у молодіжній сфері, які діють на принципах демократичного врядування, застосування наявних та нових інструментів для активної участі та інтеграції молоді у суспільне життя і подальший розвиток українського суспільства.</w:t>
      </w:r>
    </w:p>
    <w:p>
      <w:pPr>
        <w:pStyle w:val="Style17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>Досягнення мети вбачається у комплексному та системному підходах всіх суб’єктів молодіжної політики для активізації вертикальної і горизонтальної співпраці та обмін досвідом між органом місцевого самоврядування та молоддю, формування ціннісної орієнтації молоді на сімейний спосіб життя, популяризації здорового способу життя.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lang w:val="uk-UA"/>
        </w:rPr>
        <w:t>Програма розробляється для реалізації таких завдань: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ідвищення спроможності, публічності та демократичного врядування інститутів громадянського суспільства у молодіжній сфері, через: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запровадження механізму інституційної підтримки молодіжних та дитячих громадських організацій;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здійснення навчання для представників інститутів громадянського суспільства у молодіжній сфері, у тому числі, молодіжних та дитячих громадських організацій;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надання в установленому порядку фінансової  підтримки для реалізації їх заходів.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ідвищення рівня культури волонтерства серед дітей та молоді через: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підвищення спроможності організацій, що залучаються до своєї діяльності волонтерів;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-здійснення навчання представників організацій, що залучають до своєї діяльності волонтерів, та фахівців, що розповідають про волонтерську діяльність; реалізацію заходів, спрямованих на розвиток культури волонтерства серед дітей та молоді;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ктивізація залучення молоді до процесів ухвалення рішень (у тому числі підвищення рівня її поінформованості щодо інструментів участі) через: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сприяння утворенню та розвитку молодіжних консультативно-дорадчих органів, органів учнівського самоврядування;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застосування електронних форм демократичного врядування (петиції, запити, інше).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ідвищення рівня мобільності молоді, зокрема шляхом здійснення обмінів у межах України та у партнерстві з іншими державами.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творення та розвиток молодіжних центрів через підвищення рівня їх спроможності та якості їх діяльності.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ідвищення рівня громадянських компетентностей молоді та компетентностей для розуміння потреби навчатися впродовж життя, інтеграції у суспільне життя, адаптації до викликів сучасного світу, визначення свідомого вибору життєвого шляху, формування відповідального ставлення до: власного здоров’я, планування сім’ї та батьківства, навколишнього природного середовища.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прияння духовному та фізичному розвитку молоді, вихованню почуття громадянської самосвідомості та патріотизму, бажання активно сприяти утвердженню державності в Україні;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прияння реалізації творчого потенціалу молодої людини в інтересах становлення й самореалізації її особистості, формування морально-правової культури та профілактики негативних явищ в дитячому та молодіжному середовищі.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17"/>
        <w:spacing w:before="0" w:after="0"/>
        <w:jc w:val="center"/>
        <w:rPr/>
      </w:pPr>
      <w:r>
        <w:rPr>
          <w:rStyle w:val="Style15"/>
          <w:rFonts w:ascii="Times New Roman" w:hAnsi="Times New Roman"/>
          <w:color w:val="000000"/>
        </w:rPr>
        <w:t>Шляхи і способи розв'язання проблем</w:t>
      </w:r>
    </w:p>
    <w:p>
      <w:pPr>
        <w:pStyle w:val="Style17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Завдання, визначені програмою, будуть виконуватися, враховуючи такі напрями:</w:t>
      </w:r>
    </w:p>
    <w:p>
      <w:pPr>
        <w:pStyle w:val="Style17"/>
        <w:spacing w:before="0" w:after="0"/>
        <w:jc w:val="both"/>
        <w:rPr/>
      </w:pPr>
      <w:r>
        <w:rPr>
          <w:rStyle w:val="Style15"/>
          <w:rFonts w:ascii="Times New Roman" w:hAnsi="Times New Roman"/>
          <w:color w:val="000000"/>
        </w:rPr>
        <w:t>- підтримка молоді та інститутів громадянського суспільства: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створення та підтримка діяльності консультативно-дорадчого органу Молодіжної ради;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здійснення опитувань, соціальних досліджень на теми інтересів, цінностей та потреб молоді і пріоритетів молодіжної політики;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розвиток неформальної освіти для молоді;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посилення співпраці органів місцевого самоврядування з інститутами громадянського суспільства;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ознайомлення молоді з процесами державотворення, діяльністю органів місцевого самоврядування;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підготовка фахівців, які працюють з дітьми та молоддю, у тому числі молодіжних працівників.</w:t>
      </w:r>
    </w:p>
    <w:p>
      <w:pPr>
        <w:pStyle w:val="Style17"/>
        <w:spacing w:before="0" w:after="0"/>
        <w:rPr/>
      </w:pPr>
      <w:r>
        <w:rPr>
          <w:rStyle w:val="Style15"/>
          <w:rFonts w:ascii="Times New Roman" w:hAnsi="Times New Roman"/>
          <w:color w:val="000000"/>
        </w:rPr>
        <w:t>-  формування компетентності молоді, посилення участі молоді у суспільному житті, підвищення спроможності молоді, що включає: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утвердження громадянської свідомості й активної громадянської позиції молоді;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впровадження громадянської освіти, освіти з прав людини та підвищення рівня громадянських компетентностей, формування її готовності та вміння діяти самостійно, знати та відстоювати свої права, нести відповідальність за свої дії та власне життя;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реалізацію просвітницької діяльності у сфері протидії і запобіганню різних форм насильства;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розвиток скаутського, волонтерського, молодіжного громадських рухів;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посилення відповідального ставлення до навколишнього природного середовища та культури відповідального споживання;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підвищення у молоді здатності швидко адаптуватися до нових умов, критично оцінювати і реагувати на нові виклики та процеси, що відбуваються в державі та світі;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формування критичного мислення, підвищення медіаграмотності;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розвиток змістовного дозвілля, підтримка творчої та талановитої молоді;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створення, розвиток та підтримка молодіжних центрів;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створення умов та можливостей для розвитку та посилення спроможності органів учнівського  самоврядування, молодіжних рад як дієвих інструментів участі молодих людей у процесах ухвалення рішень та їх навчання;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підвищення рівня фінансової та цифрової грамотності, підприємливості;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формування культури підприємництва серед молоді, розвитку інноваційного потенціалу та молодіжного підприємництва, у тому числі соціального (з підтримкою молодіжних стартапів та креативних індустрій);</w:t>
      </w:r>
    </w:p>
    <w:p>
      <w:pPr>
        <w:pStyle w:val="Style17"/>
        <w:spacing w:before="0" w:after="0"/>
        <w:jc w:val="both"/>
        <w:rPr/>
      </w:pPr>
      <w:r>
        <w:rPr>
          <w:rStyle w:val="Style15"/>
          <w:rFonts w:ascii="Times New Roman" w:hAnsi="Times New Roman"/>
          <w:color w:val="000000"/>
        </w:rPr>
        <w:t>- утвердження здорового способу життя серед молоді, що включає: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формування відповідального ставлення до власного здоров’я;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залучення молоді до занять спортом з олімпійських і не олімпійських видів;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підвищення рівня духовного життя;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сприяння усвідомленню потреби збереження репродуктивного та сексуального здоров’я, підвищення уваги до статевого виховання;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зміцнення ментального здоров’я (у тому числі надання психологічного допомоги);</w:t>
      </w:r>
    </w:p>
    <w:p>
      <w:pPr>
        <w:pStyle w:val="Style17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безпечне поводження з гаджетами та мережею Інтернет;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протидію розповсюдженню вживання психоактивних речовин, алкоголю, тютюну та інших форм залежності.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color w:val="000000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val="uk-UA"/>
        </w:rPr>
        <w:t>Очікувані результати виконання Програми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Виконання програми забезпечить: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збільшення кількості молоді, яка бере участь у суспільному житті, шляхом інформування про можливості, наявні та нові інструменти участі, що включає участь у: діяльності інститутів громадянського суспільства, у тому числі молодіжних громадських організаціях, молодіжних центрів, волонтерських ініціатив, благодійних та гуманітарних організаціях, у тому числі щодо охорони довкілля, органів учнівського самоврядування, молодіжних консультативно-дорадчих органів; діяльності у процесі ухвалення рішень щодо важливих суспільних питань на місцевому рівні; суспільно-політичній діяльності, політичних процесах, що відбуваються в Україні, зокрема зацікавленості новинами, що висвітлюють діяльність органів місцевого самоврядування; програмах мобільності (у тому числі обмінах молоддю) на рівні громади, області, країни, у партнерстві з іншими країнами;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зростання зацікавленості юнаків та дівчат до оволодіння культурними цінностями українського народу;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збільшення кількості молоді зацікавленої у формування високих моральних, культурних, загальнолюдських цінностей, утвердження почуття патріотизму та національної самосвідомості;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підвищення спроможності інститутів громадянського суспільства у молодіжній сфері через підготовку кваліфікованого персоналу, створення умов для надання ресурсів та інформації для роботи і організації молодіжних заходів для досягнення мети програми, навчання представників ІГС для отримання відповідних компетентностей;</w:t>
      </w:r>
    </w:p>
    <w:p>
      <w:pPr>
        <w:pStyle w:val="Style17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 разі потреби щорічно може здійснюватися перегляд запланованої діяльності, пошук та впровадження більш ефективних способів розв’язання проблем молоді.</w:t>
      </w:r>
    </w:p>
    <w:p>
      <w:pPr>
        <w:pStyle w:val="Style17"/>
        <w:spacing w:before="0" w:after="0"/>
        <w:ind w:left="0" w:right="0"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на 2025-2027 роки -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2345,4 тис. грн.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в</w:t>
      </w:r>
      <w:r>
        <w:rPr>
          <w:rFonts w:eastAsia="Calibri"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тому числі за роками: 2025 р.  –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561,3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 тис. грн;  2026 р. –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851,8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 тис. грн.; 2027 р. –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932,3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 тис. грн.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111111"/>
          <w:spacing w:val="-4"/>
          <w:szCs w:val="24"/>
          <w:lang w:val="uk-UA"/>
        </w:rPr>
      </w:pPr>
      <w:r>
        <w:rPr>
          <w:color w:val="000000"/>
          <w:sz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sz w:val="24"/>
        </w:rPr>
      </w:pP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  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Програма створювалась за підтримки про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є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 xml:space="preserve">кту “Імпульс”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en-US"/>
        </w:rPr>
        <w:t xml:space="preserve">UNICEF 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та участі  активної молоді громади.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111111"/>
          <w:spacing w:val="-4"/>
          <w:szCs w:val="24"/>
          <w:lang w:val="uk-UA"/>
        </w:rPr>
      </w:pPr>
      <w:r>
        <w:rPr>
          <w:color w:val="000000"/>
          <w:sz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sz w:val="24"/>
        </w:rPr>
      </w:pP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В</w:t>
      </w:r>
      <w:r>
        <w:rPr>
          <w:rFonts w:cs="Times New Roman" w:ascii="Times New Roman" w:hAnsi="Times New Roman"/>
          <w:color w:val="111111"/>
          <w:spacing w:val="-4"/>
          <w:sz w:val="24"/>
          <w:szCs w:val="24"/>
          <w:lang w:val="uk-UA"/>
        </w:rPr>
        <w:t>иконавець: Артем ЛУЦЬ</w:t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11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45d4e"/>
    <w:rPr>
      <w:rFonts w:ascii="Tahoma" w:hAnsi="Tahoma" w:cs="Tahoma"/>
      <w:sz w:val="16"/>
      <w:szCs w:val="16"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 w:customStyle="1">
    <w:name w:val="Знак Знак Знак"/>
    <w:basedOn w:val="Normal"/>
    <w:qFormat/>
    <w:rsid w:val="00cc4941"/>
    <w:pPr>
      <w:spacing w:lineRule="auto" w:line="240" w:before="0" w:after="0"/>
    </w:pPr>
    <w:rPr>
      <w:rFonts w:ascii="Verdana" w:hAnsi="Verdana" w:eastAsia="Times New Roman" w:cs="Verdana"/>
      <w:sz w:val="24"/>
      <w:szCs w:val="24"/>
      <w:lang w:val="en-US"/>
    </w:rPr>
  </w:style>
  <w:style w:type="paragraph" w:styleId="BalloonText">
    <w:name w:val="Balloon Text"/>
    <w:basedOn w:val="Normal"/>
    <w:uiPriority w:val="99"/>
    <w:semiHidden/>
    <w:unhideWhenUsed/>
    <w:qFormat/>
    <w:rsid w:val="00145d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4b0"/>
    <w:pPr>
      <w:spacing w:before="0" w:after="200"/>
      <w:ind w:left="720" w:hanging="0"/>
      <w:contextualSpacing/>
    </w:pPr>
    <w:rPr/>
  </w:style>
  <w:style w:type="paragraph" w:styleId="Style23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875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3</Pages>
  <Words>969</Words>
  <Characters>7114</Characters>
  <CharactersWithSpaces>8048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2024-05-02T14:49:00Z</dcterms:created>
  <dc:creator>Admin</dc:creator>
  <dc:description/>
  <dc:language>uk-UA</dc:language>
  <cp:lastModifiedBy/>
  <cp:lastPrinted>2024-06-20T16:42:04Z</cp:lastPrinted>
  <dcterms:modified xsi:type="dcterms:W3CDTF">2024-06-20T16:58:39Z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