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D1883" w14:textId="77777777" w:rsidR="00A63DCC" w:rsidRPr="00F22B2A" w:rsidRDefault="00A63DCC" w:rsidP="003D4A3E">
      <w:pPr>
        <w:rPr>
          <w:sz w:val="32"/>
          <w:szCs w:val="32"/>
          <w:lang w:val="uk-UA"/>
        </w:rPr>
      </w:pPr>
    </w:p>
    <w:p w14:paraId="720034B8" w14:textId="387F401B" w:rsidR="003D4A3E" w:rsidRPr="003D4A3E" w:rsidRDefault="007400C7" w:rsidP="00C77EEA">
      <w:pPr>
        <w:ind w:left="6480"/>
        <w:jc w:val="both"/>
        <w:rPr>
          <w:lang w:val="uk-UA"/>
        </w:rPr>
      </w:pPr>
      <w:r>
        <w:rPr>
          <w:lang w:val="uk-UA"/>
        </w:rPr>
        <w:t xml:space="preserve"> </w:t>
      </w:r>
      <w:r w:rsidR="003D4A3E" w:rsidRPr="003D4A3E">
        <w:rPr>
          <w:lang w:val="uk-UA"/>
        </w:rPr>
        <w:t>Додаток</w:t>
      </w:r>
    </w:p>
    <w:p w14:paraId="071085D2" w14:textId="04CB2C52" w:rsidR="00F22B2A" w:rsidRDefault="007400C7" w:rsidP="00C77EEA">
      <w:pPr>
        <w:ind w:left="6480"/>
        <w:rPr>
          <w:lang w:val="uk-UA"/>
        </w:rPr>
      </w:pPr>
      <w:r>
        <w:rPr>
          <w:lang w:val="uk-UA"/>
        </w:rPr>
        <w:t xml:space="preserve"> </w:t>
      </w:r>
      <w:r w:rsidR="003D4A3E" w:rsidRPr="003D4A3E">
        <w:rPr>
          <w:lang w:val="uk-UA"/>
        </w:rPr>
        <w:t xml:space="preserve">до </w:t>
      </w:r>
      <w:r w:rsidR="00F22B2A">
        <w:rPr>
          <w:lang w:val="uk-UA"/>
        </w:rPr>
        <w:t xml:space="preserve">проєкту </w:t>
      </w:r>
      <w:r w:rsidR="003D4A3E" w:rsidRPr="003D4A3E">
        <w:rPr>
          <w:lang w:val="uk-UA"/>
        </w:rPr>
        <w:t>рішення</w:t>
      </w:r>
    </w:p>
    <w:p w14:paraId="0CF37B78" w14:textId="3F9D0D35" w:rsidR="003D4A3E" w:rsidRPr="003D4A3E" w:rsidRDefault="003D4A3E" w:rsidP="00C77EEA">
      <w:pPr>
        <w:ind w:left="6480"/>
        <w:rPr>
          <w:lang w:val="uk-UA"/>
        </w:rPr>
      </w:pPr>
      <w:r w:rsidRPr="003D4A3E">
        <w:rPr>
          <w:lang w:val="uk-UA"/>
        </w:rPr>
        <w:t xml:space="preserve"> Южненської міської ради</w:t>
      </w:r>
    </w:p>
    <w:p w14:paraId="73D4718C" w14:textId="1EA94969" w:rsidR="003D4A3E" w:rsidRPr="003D4A3E" w:rsidRDefault="003D4A3E" w:rsidP="003D4A3E">
      <w:pPr>
        <w:ind w:left="4320" w:firstLine="720"/>
        <w:rPr>
          <w:lang w:val="uk-UA"/>
        </w:rPr>
      </w:pPr>
    </w:p>
    <w:p w14:paraId="38150896" w14:textId="77777777" w:rsidR="003D4A3E" w:rsidRPr="003D4A3E" w:rsidRDefault="003D4A3E" w:rsidP="003D4A3E">
      <w:pPr>
        <w:rPr>
          <w:lang w:val="uk-UA"/>
        </w:rPr>
      </w:pPr>
    </w:p>
    <w:p w14:paraId="19F73EBB" w14:textId="77777777" w:rsidR="003D4A3E" w:rsidRPr="003D4A3E" w:rsidRDefault="003D4A3E" w:rsidP="003D4A3E">
      <w:pPr>
        <w:rPr>
          <w:lang w:val="uk-UA"/>
        </w:rPr>
      </w:pPr>
    </w:p>
    <w:p w14:paraId="7968BEB5" w14:textId="77777777" w:rsidR="003D4A3E" w:rsidRPr="003D4A3E" w:rsidRDefault="003D4A3E" w:rsidP="003D4A3E">
      <w:pPr>
        <w:ind w:right="-143"/>
        <w:contextualSpacing/>
        <w:jc w:val="center"/>
        <w:rPr>
          <w:b/>
          <w:lang w:val="uk-UA"/>
        </w:rPr>
      </w:pPr>
      <w:r w:rsidRPr="003D4A3E">
        <w:rPr>
          <w:b/>
          <w:lang w:val="uk-UA"/>
        </w:rPr>
        <w:t xml:space="preserve">Методика </w:t>
      </w:r>
    </w:p>
    <w:p w14:paraId="42691134" w14:textId="77777777" w:rsidR="003D4A3E" w:rsidRPr="003D4A3E" w:rsidRDefault="003D4A3E" w:rsidP="003D4A3E">
      <w:pPr>
        <w:ind w:right="-143"/>
        <w:contextualSpacing/>
        <w:jc w:val="center"/>
        <w:rPr>
          <w:b/>
          <w:lang w:val="uk-UA"/>
        </w:rPr>
      </w:pPr>
      <w:bookmarkStart w:id="0" w:name="_Hlk151120467"/>
      <w:r w:rsidRPr="003D4A3E">
        <w:rPr>
          <w:b/>
          <w:lang w:val="uk-UA"/>
        </w:rPr>
        <w:t>розрахунку компенсації обґрунтованих витрат</w:t>
      </w:r>
    </w:p>
    <w:p w14:paraId="53C5BDA6" w14:textId="77777777" w:rsidR="003D4A3E" w:rsidRPr="003D4A3E" w:rsidRDefault="003D4A3E" w:rsidP="003D4A3E">
      <w:pPr>
        <w:ind w:right="-143"/>
        <w:contextualSpacing/>
        <w:jc w:val="center"/>
        <w:rPr>
          <w:b/>
          <w:lang w:val="uk-UA"/>
        </w:rPr>
      </w:pPr>
      <w:r w:rsidRPr="003D4A3E">
        <w:rPr>
          <w:b/>
          <w:lang w:val="uk-UA" w:eastAsia="uk-UA"/>
        </w:rPr>
        <w:t>КОМУНАЛЬНОГО ПІДПРИЄМСТВА ТЕПЛОВИХ МЕРЕЖ «ЮЖТЕПЛОКОМУНЕНЕРГО»</w:t>
      </w:r>
      <w:r w:rsidRPr="003D4A3E">
        <w:rPr>
          <w:lang w:val="uk-UA"/>
        </w:rPr>
        <w:t xml:space="preserve"> </w:t>
      </w:r>
      <w:bookmarkStart w:id="1" w:name="_Hlk151119673"/>
      <w:r w:rsidRPr="003D4A3E">
        <w:rPr>
          <w:b/>
          <w:lang w:val="uk-UA"/>
        </w:rPr>
        <w:t>за надання послуг, що становлять загальний економічний інтерес</w:t>
      </w:r>
      <w:bookmarkEnd w:id="1"/>
      <w:r w:rsidRPr="003D4A3E">
        <w:rPr>
          <w:b/>
          <w:lang w:val="uk-UA"/>
        </w:rPr>
        <w:t xml:space="preserve">, контролю та перегляду такої компенсації </w:t>
      </w:r>
    </w:p>
    <w:bookmarkEnd w:id="0"/>
    <w:p w14:paraId="64096743" w14:textId="77777777" w:rsidR="003D4A3E" w:rsidRPr="003D4A3E" w:rsidRDefault="003D4A3E" w:rsidP="003D4A3E">
      <w:pPr>
        <w:ind w:right="-143"/>
        <w:contextualSpacing/>
        <w:jc w:val="center"/>
        <w:rPr>
          <w:lang w:val="uk-UA"/>
        </w:rPr>
      </w:pPr>
    </w:p>
    <w:p w14:paraId="57CB6D00" w14:textId="77777777" w:rsidR="003D4A3E" w:rsidRPr="003D4A3E" w:rsidRDefault="003D4A3E" w:rsidP="003D4A3E">
      <w:pPr>
        <w:ind w:right="-143"/>
        <w:contextualSpacing/>
        <w:jc w:val="center"/>
        <w:rPr>
          <w:lang w:val="uk-UA"/>
        </w:rPr>
      </w:pPr>
      <w:r w:rsidRPr="003D4A3E">
        <w:rPr>
          <w:b/>
          <w:lang w:val="uk-UA"/>
        </w:rPr>
        <w:t>1. Загальні положення</w:t>
      </w:r>
      <w:r w:rsidRPr="003D4A3E">
        <w:rPr>
          <w:lang w:val="uk-UA"/>
        </w:rPr>
        <w:t xml:space="preserve"> </w:t>
      </w:r>
    </w:p>
    <w:p w14:paraId="322175EA" w14:textId="77777777" w:rsidR="003D4A3E" w:rsidRPr="003D4A3E" w:rsidRDefault="003D4A3E" w:rsidP="003D4A3E">
      <w:pPr>
        <w:ind w:right="-143"/>
        <w:contextualSpacing/>
        <w:jc w:val="center"/>
        <w:rPr>
          <w:lang w:val="uk-UA"/>
        </w:rPr>
      </w:pPr>
    </w:p>
    <w:p w14:paraId="48B54E7A" w14:textId="5F71F392" w:rsidR="003D4A3E" w:rsidRPr="003D4A3E" w:rsidRDefault="003D4A3E" w:rsidP="003D4A3E">
      <w:pPr>
        <w:tabs>
          <w:tab w:val="left" w:pos="1276"/>
        </w:tabs>
        <w:ind w:right="-143" w:firstLine="700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1.1. Методика розрахунку компенсації обґрунтованих витрат </w:t>
      </w:r>
      <w:r w:rsidRPr="003D4A3E">
        <w:rPr>
          <w:b/>
          <w:lang w:val="uk-UA" w:eastAsia="uk-UA"/>
        </w:rPr>
        <w:t xml:space="preserve">КОМУНАЛЬНОГО ПІДПРИЄМСТВА ТЕПЛОВИХ МЕРЕЖ «ЮЖТЕПЛОКОМУНЕНЕРГО» </w:t>
      </w:r>
      <w:r w:rsidRPr="003D4A3E">
        <w:rPr>
          <w:lang w:val="uk-UA"/>
        </w:rPr>
        <w:t xml:space="preserve">(далі –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")</w:t>
      </w:r>
      <w:r w:rsidRPr="003D4A3E">
        <w:rPr>
          <w:lang w:val="uk-UA"/>
        </w:rPr>
        <w:t xml:space="preserve"> за надання послуг, що становлять загальний економічний інтерес, контролю та перегляду такої компенсації (далі – Методика) розроблена </w:t>
      </w:r>
      <w:bookmarkStart w:id="2" w:name="_Hlk150854496"/>
      <w:r w:rsidRPr="003D4A3E">
        <w:rPr>
          <w:lang w:val="uk-UA"/>
        </w:rPr>
        <w:t xml:space="preserve">для забезпечення реалізації заходів </w:t>
      </w:r>
      <w:bookmarkStart w:id="3" w:name="_Hlk151118164"/>
      <w:r w:rsidRPr="003D4A3E">
        <w:rPr>
          <w:lang w:val="uk-UA"/>
        </w:rPr>
        <w:t>з виробництва, транспортування та постачання теплової енергії, послуг з постачання теплової енергії</w:t>
      </w:r>
      <w:bookmarkEnd w:id="3"/>
      <w:r w:rsidRPr="003D4A3E">
        <w:rPr>
          <w:lang w:val="uk-UA"/>
        </w:rPr>
        <w:t xml:space="preserve"> </w:t>
      </w:r>
      <w:r w:rsidRPr="00C77EEA">
        <w:rPr>
          <w:lang w:val="uk-UA"/>
        </w:rPr>
        <w:t xml:space="preserve">для </w:t>
      </w:r>
      <w:r w:rsidR="006E625A" w:rsidRPr="00C77EEA">
        <w:rPr>
          <w:lang w:val="uk-UA"/>
        </w:rPr>
        <w:t>населення</w:t>
      </w:r>
      <w:r w:rsidR="006E625A">
        <w:rPr>
          <w:lang w:val="uk-UA"/>
        </w:rPr>
        <w:t xml:space="preserve"> </w:t>
      </w:r>
      <w:r w:rsidRPr="003D4A3E">
        <w:rPr>
          <w:lang w:val="uk-UA"/>
        </w:rPr>
        <w:t>м. Южного в умовах воєнного стану та пов’язаним з цим зниженням рівня розрахунків споживачами.</w:t>
      </w:r>
    </w:p>
    <w:bookmarkEnd w:id="2"/>
    <w:p w14:paraId="6E906832" w14:textId="391074D5" w:rsidR="003D4A3E" w:rsidRPr="003D4A3E" w:rsidRDefault="003D4A3E" w:rsidP="003D4A3E">
      <w:pPr>
        <w:tabs>
          <w:tab w:val="left" w:pos="1276"/>
        </w:tabs>
        <w:ind w:right="-143" w:firstLine="700"/>
        <w:contextualSpacing/>
        <w:jc w:val="both"/>
        <w:rPr>
          <w:lang w:val="uk-UA"/>
        </w:rPr>
      </w:pPr>
      <w:r w:rsidRPr="00A02543">
        <w:rPr>
          <w:lang w:val="uk-UA"/>
        </w:rPr>
        <w:t>Основний критерій, за яким надається компенсація витрат за надання послуг, що становлять загальний економічний інтерес – підприємство, що надає такі послуги, має збитки від здійснення основної економічної діяльності</w:t>
      </w:r>
      <w:r w:rsidR="00A02543" w:rsidRPr="00A02543">
        <w:rPr>
          <w:lang w:val="uk-UA"/>
        </w:rPr>
        <w:t xml:space="preserve"> </w:t>
      </w:r>
      <w:r w:rsidR="00A02543" w:rsidRPr="00C77EEA">
        <w:rPr>
          <w:lang w:val="uk-UA"/>
        </w:rPr>
        <w:t>в частині надання послуг за категорією споживачів населення</w:t>
      </w:r>
      <w:r w:rsidRPr="00C77EEA">
        <w:rPr>
          <w:lang w:val="uk-UA"/>
        </w:rPr>
        <w:t>.</w:t>
      </w:r>
    </w:p>
    <w:p w14:paraId="34FA4A1D" w14:textId="77777777" w:rsidR="003D4A3E" w:rsidRPr="003D4A3E" w:rsidRDefault="003D4A3E" w:rsidP="003D4A3E">
      <w:pPr>
        <w:ind w:right="-143" w:firstLine="700"/>
        <w:contextualSpacing/>
        <w:jc w:val="both"/>
        <w:rPr>
          <w:lang w:val="uk-UA"/>
        </w:rPr>
      </w:pPr>
      <w:r w:rsidRPr="003D4A3E">
        <w:rPr>
          <w:b/>
          <w:bCs/>
          <w:lang w:val="uk-UA"/>
        </w:rPr>
        <w:t xml:space="preserve">Послуги, що становлять загальний економічний інтерес </w:t>
      </w:r>
      <w:r w:rsidRPr="003D4A3E">
        <w:rPr>
          <w:lang w:val="uk-UA"/>
        </w:rPr>
        <w:t xml:space="preserve"> –  послуги, пов’язані із задоволенням особливо важливих загальних потреб громадян, що не можуть надаватися на комерційній основі без державної підтримки на період введення воєнного стану.</w:t>
      </w:r>
    </w:p>
    <w:p w14:paraId="00FA0F6F" w14:textId="17004742" w:rsidR="003D4A3E" w:rsidRPr="003D4A3E" w:rsidRDefault="003D4A3E" w:rsidP="003D4A3E">
      <w:pPr>
        <w:ind w:right="-143" w:firstLine="700"/>
        <w:contextualSpacing/>
        <w:jc w:val="both"/>
        <w:rPr>
          <w:lang w:val="uk-UA"/>
        </w:rPr>
      </w:pPr>
      <w:r w:rsidRPr="003D4A3E">
        <w:rPr>
          <w:b/>
          <w:bCs/>
          <w:lang w:val="uk-UA"/>
        </w:rPr>
        <w:t xml:space="preserve">Послуги, що становлять загальний економічний інтерес КП ТМ 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b/>
          <w:bCs/>
          <w:lang w:val="uk-UA"/>
        </w:rPr>
        <w:t>ЮТКЕ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lang w:val="uk-UA"/>
        </w:rPr>
        <w:t xml:space="preserve"> (далі – ПЗЕІ) - послуги з постачання теплової енергії, її виробництва, транспортування та постачання </w:t>
      </w:r>
      <w:r w:rsidRPr="00C77EEA">
        <w:rPr>
          <w:lang w:val="uk-UA"/>
        </w:rPr>
        <w:t xml:space="preserve">для </w:t>
      </w:r>
      <w:r w:rsidR="006E625A" w:rsidRPr="00C77EEA">
        <w:rPr>
          <w:lang w:val="uk-UA"/>
        </w:rPr>
        <w:t>населення</w:t>
      </w:r>
      <w:r w:rsidR="006E625A">
        <w:rPr>
          <w:lang w:val="uk-UA"/>
        </w:rPr>
        <w:t xml:space="preserve"> </w:t>
      </w:r>
      <w:r w:rsidRPr="003D4A3E">
        <w:rPr>
          <w:lang w:val="uk-UA"/>
        </w:rPr>
        <w:t xml:space="preserve">м. Южного. </w:t>
      </w:r>
    </w:p>
    <w:p w14:paraId="142EC116" w14:textId="77777777" w:rsidR="003D4A3E" w:rsidRPr="003D4A3E" w:rsidRDefault="003D4A3E" w:rsidP="003D4A3E">
      <w:pPr>
        <w:ind w:right="-143" w:firstLine="700"/>
        <w:contextualSpacing/>
        <w:jc w:val="both"/>
        <w:rPr>
          <w:lang w:val="uk-UA"/>
        </w:rPr>
      </w:pPr>
      <w:r w:rsidRPr="003D4A3E">
        <w:rPr>
          <w:b/>
          <w:bCs/>
          <w:lang w:val="uk-UA"/>
        </w:rPr>
        <w:t>Компенсація обґрунтованих витрат за надання ПЗЕІ</w:t>
      </w:r>
      <w:r w:rsidRPr="003D4A3E">
        <w:rPr>
          <w:lang w:val="uk-UA"/>
        </w:rPr>
        <w:t xml:space="preserve"> </w:t>
      </w:r>
      <w:r w:rsidRPr="003D4A3E">
        <w:rPr>
          <w:b/>
          <w:bCs/>
          <w:lang w:val="uk-UA"/>
        </w:rPr>
        <w:t xml:space="preserve">КП ТМ 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b/>
          <w:bCs/>
          <w:lang w:val="uk-UA"/>
        </w:rPr>
        <w:t>ЮТКЕ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lang w:val="uk-UA"/>
        </w:rPr>
        <w:t xml:space="preserve"> - обґрунтована сума чистої фінансової різниці між понесеними витратами та доходами </w:t>
      </w:r>
      <w:bookmarkStart w:id="4" w:name="_Hlk151473984"/>
      <w:r w:rsidRPr="003D4A3E">
        <w:rPr>
          <w:lang w:val="uk-UA"/>
        </w:rPr>
        <w:t xml:space="preserve">при наданні ПЗЕІ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bookmarkEnd w:id="4"/>
      <w:r w:rsidRPr="003D4A3E">
        <w:rPr>
          <w:lang w:val="uk-UA"/>
        </w:rPr>
        <w:t>, що покривається, у разі потреби, за рахунок бюджету міської територіальної громади.</w:t>
      </w:r>
    </w:p>
    <w:p w14:paraId="60B21F77" w14:textId="00BA6D65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1.2. Методика визначає механізм обчислення компенсації обґрунтованих витрат </w:t>
      </w:r>
      <w:bookmarkStart w:id="5" w:name="_Hlk150861989"/>
      <w:r w:rsidRPr="003D4A3E">
        <w:rPr>
          <w:lang w:val="uk-UA"/>
        </w:rPr>
        <w:t xml:space="preserve">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</w:t>
      </w:r>
      <w:bookmarkEnd w:id="5"/>
      <w:r w:rsidRPr="003D4A3E">
        <w:rPr>
          <w:lang w:val="uk-UA"/>
        </w:rPr>
        <w:t xml:space="preserve">за надання ПЗЕІ з реалізації заходів з виробництва, транспортування та постачання теплової енергії, послуг з постачання теплової енергії </w:t>
      </w:r>
      <w:r w:rsidRPr="00C77EEA">
        <w:rPr>
          <w:lang w:val="uk-UA"/>
        </w:rPr>
        <w:t xml:space="preserve">для </w:t>
      </w:r>
      <w:r w:rsidR="006E625A" w:rsidRPr="00C77EEA">
        <w:rPr>
          <w:lang w:val="uk-UA"/>
        </w:rPr>
        <w:t>населення</w:t>
      </w:r>
      <w:r w:rsidR="006E625A">
        <w:rPr>
          <w:lang w:val="uk-UA"/>
        </w:rPr>
        <w:t xml:space="preserve"> </w:t>
      </w:r>
      <w:r w:rsidRPr="003D4A3E">
        <w:rPr>
          <w:lang w:val="uk-UA"/>
        </w:rPr>
        <w:t xml:space="preserve">м. Южного. </w:t>
      </w:r>
    </w:p>
    <w:p w14:paraId="2C6DFF98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1.3. Методика розроблена відповідно до Бюджетного кодексу України, Законів України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Про місцеве самоврядування в Україні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,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Про державну допомогу суб’єктам господарювання</w:t>
      </w:r>
      <w:r w:rsidRPr="003D4A3E">
        <w:rPr>
          <w:spacing w:val="-2"/>
          <w:lang w:val="uk-UA"/>
        </w:rPr>
        <w:t>".</w:t>
      </w:r>
    </w:p>
    <w:p w14:paraId="12F346D5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1.4. Компенсація витрат </w:t>
      </w:r>
      <w:bookmarkStart w:id="6" w:name="_Hlk150862039"/>
      <w:r w:rsidRPr="003D4A3E">
        <w:rPr>
          <w:lang w:val="uk-UA"/>
        </w:rPr>
        <w:t xml:space="preserve">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bookmarkEnd w:id="6"/>
      <w:r w:rsidRPr="003D4A3E">
        <w:rPr>
          <w:lang w:val="uk-UA"/>
        </w:rPr>
        <w:t xml:space="preserve"> за надання ПЗЕІ  здійснюється на підставі рішень Южненської міської ради.</w:t>
      </w:r>
    </w:p>
    <w:p w14:paraId="19F12057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1.5. Кошти, отримані як компенсація витрат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за надання ПЗЕІ,  використовуються підприємством на заходи, спрямовані на досягнення його стабільної та беззбиткової діяльності.</w:t>
      </w:r>
    </w:p>
    <w:p w14:paraId="52725D9B" w14:textId="77777777" w:rsidR="003D4A3E" w:rsidRPr="003D4A3E" w:rsidRDefault="003D4A3E" w:rsidP="003D4A3E">
      <w:pPr>
        <w:ind w:right="-143" w:firstLine="709"/>
        <w:contextualSpacing/>
        <w:jc w:val="right"/>
        <w:rPr>
          <w:b/>
          <w:lang w:val="uk-UA"/>
        </w:rPr>
      </w:pPr>
    </w:p>
    <w:p w14:paraId="087DDF66" w14:textId="77777777" w:rsidR="003D4A3E" w:rsidRPr="003D4A3E" w:rsidRDefault="003D4A3E" w:rsidP="003D4A3E">
      <w:pPr>
        <w:ind w:right="-143"/>
        <w:contextualSpacing/>
        <w:jc w:val="center"/>
        <w:rPr>
          <w:b/>
          <w:lang w:val="uk-UA"/>
        </w:rPr>
      </w:pPr>
      <w:r w:rsidRPr="003D4A3E">
        <w:rPr>
          <w:b/>
          <w:lang w:val="uk-UA"/>
        </w:rPr>
        <w:t>2. Розрахунок компенсації обґрунтованих витрат за надання ПЗЕІ</w:t>
      </w:r>
    </w:p>
    <w:p w14:paraId="5FF00898" w14:textId="29676DAC" w:rsidR="003D4A3E" w:rsidRPr="003D4A3E" w:rsidRDefault="003D4A3E" w:rsidP="003D4A3E">
      <w:pPr>
        <w:ind w:right="-143"/>
        <w:contextualSpacing/>
        <w:jc w:val="center"/>
        <w:rPr>
          <w:b/>
          <w:lang w:val="uk-UA"/>
        </w:rPr>
      </w:pPr>
      <w:r w:rsidRPr="003D4A3E">
        <w:rPr>
          <w:b/>
          <w:lang w:val="uk-UA"/>
        </w:rPr>
        <w:t xml:space="preserve"> з реалізації послуг з постачання теплової енергії, її виробництва</w:t>
      </w:r>
      <w:r w:rsidRPr="003D4A3E">
        <w:rPr>
          <w:lang w:val="uk-UA"/>
        </w:rPr>
        <w:t xml:space="preserve">, </w:t>
      </w:r>
      <w:r w:rsidRPr="003D4A3E">
        <w:rPr>
          <w:b/>
          <w:lang w:val="uk-UA"/>
        </w:rPr>
        <w:t xml:space="preserve">транспортування та постачання, для </w:t>
      </w:r>
      <w:r w:rsidR="006E625A" w:rsidRPr="00C77EEA">
        <w:rPr>
          <w:lang w:val="uk-UA"/>
        </w:rPr>
        <w:t xml:space="preserve">населення </w:t>
      </w:r>
      <w:r w:rsidRPr="00C77EEA">
        <w:rPr>
          <w:b/>
          <w:lang w:val="uk-UA"/>
        </w:rPr>
        <w:t>м.</w:t>
      </w:r>
      <w:r w:rsidRPr="00C77EEA">
        <w:rPr>
          <w:b/>
          <w:bCs/>
          <w:lang w:val="uk-UA"/>
        </w:rPr>
        <w:t xml:space="preserve"> Южного</w:t>
      </w:r>
    </w:p>
    <w:p w14:paraId="1686A66F" w14:textId="77777777" w:rsidR="003D4A3E" w:rsidRPr="003D4A3E" w:rsidRDefault="003D4A3E" w:rsidP="003D4A3E">
      <w:pPr>
        <w:ind w:right="-143"/>
        <w:contextualSpacing/>
        <w:jc w:val="center"/>
        <w:rPr>
          <w:lang w:val="uk-UA"/>
        </w:rPr>
      </w:pPr>
    </w:p>
    <w:p w14:paraId="46ABA36D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lastRenderedPageBreak/>
        <w:t xml:space="preserve">2.1. Обсяг компенсації </w:t>
      </w:r>
      <w:bookmarkStart w:id="7" w:name="_Hlk151121253"/>
      <w:r w:rsidRPr="003D4A3E">
        <w:rPr>
          <w:lang w:val="uk-UA"/>
        </w:rPr>
        <w:t>визначається як різниця між понесеними витратами, необхідними для надання ПЗЕІ та відповідними доходами</w:t>
      </w:r>
      <w:bookmarkEnd w:id="7"/>
      <w:r w:rsidRPr="003D4A3E">
        <w:rPr>
          <w:lang w:val="uk-UA"/>
        </w:rPr>
        <w:t xml:space="preserve">. </w:t>
      </w:r>
    </w:p>
    <w:p w14:paraId="41A961CB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Для визначення обсягу компенсації, в разі потреби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,  (одержувач бюджетних коштів),  надає управлінню житлово-комунального господарства Южненської міської ради (далі –  головний розпорядник) щоквартально наростаючим підсумком в межах календарного року розрахунок, згідно з додатком 1 до Методики. Після погодження головним розпорядником, розрахунок погоджується з управлінням економіки Южненської міської ради. У разі отримання усіх необхідних погоджень, головний розпорядник бюджетних коштів виносить на погодження виконавчим комітетом рішення про схвалення надання фінансової підтримки та направляє до фінансового управління Южненської міської ради бюджетний запит з метою отримання компенсації обґрунтованих витрат за надання ПЗЕІ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.</w:t>
      </w:r>
    </w:p>
    <w:p w14:paraId="1A197061" w14:textId="7FE7344D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2.2. </w:t>
      </w:r>
      <w:bookmarkStart w:id="8" w:name="_Hlk151121373"/>
      <w:r w:rsidRPr="003D4A3E">
        <w:rPr>
          <w:lang w:val="uk-UA"/>
        </w:rPr>
        <w:t xml:space="preserve">Фактична сума компенсації не повинна перевищувати суму, яка необхідна для покриття витрат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, необхідних для забезпечення надання послуг з постачання теплової енергії, її виробництва, транспортування та постачання </w:t>
      </w:r>
      <w:r w:rsidRPr="00C77EEA">
        <w:rPr>
          <w:lang w:val="uk-UA"/>
        </w:rPr>
        <w:t xml:space="preserve">для </w:t>
      </w:r>
      <w:r w:rsidR="006E625A" w:rsidRPr="00C77EEA">
        <w:rPr>
          <w:lang w:val="uk-UA"/>
        </w:rPr>
        <w:t>населення</w:t>
      </w:r>
      <w:r w:rsidR="006E625A">
        <w:rPr>
          <w:lang w:val="uk-UA"/>
        </w:rPr>
        <w:t xml:space="preserve"> </w:t>
      </w:r>
      <w:r w:rsidRPr="003D4A3E">
        <w:rPr>
          <w:lang w:val="uk-UA"/>
        </w:rPr>
        <w:t>м. Южного (ПЗЕІ) в межах календарного року з урахуванням наявного фінансового ресурсу місцевого бюджету.</w:t>
      </w:r>
    </w:p>
    <w:bookmarkEnd w:id="8"/>
    <w:p w14:paraId="5CF90597" w14:textId="77777777" w:rsidR="003D4A3E" w:rsidRPr="003D4A3E" w:rsidRDefault="003D4A3E" w:rsidP="003D4A3E">
      <w:pPr>
        <w:tabs>
          <w:tab w:val="left" w:pos="993"/>
        </w:tabs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2.3. Витрати та доходи 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 xml:space="preserve">" </w:t>
      </w:r>
      <w:r w:rsidRPr="003D4A3E">
        <w:rPr>
          <w:lang w:val="uk-UA"/>
        </w:rPr>
        <w:t>розраховуються одержувачем бюджетних коштів відповідно до чинних положень законодавства у сфері бухгалтерського обліку, вимог податкового законодавства та облікової політики підприємства.</w:t>
      </w:r>
    </w:p>
    <w:p w14:paraId="58584F37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2.4. У разі  надання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інших послуг,  розподілення витрат за видами діяльності здійснюється відповідно до облікової політики підприємства.  </w:t>
      </w:r>
    </w:p>
    <w:p w14:paraId="4EE3D742" w14:textId="77777777" w:rsidR="003D4A3E" w:rsidRPr="003D4A3E" w:rsidRDefault="003D4A3E" w:rsidP="003D4A3E">
      <w:pPr>
        <w:tabs>
          <w:tab w:val="left" w:pos="993"/>
        </w:tabs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2.5.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забезпечує та несе відповідальність за коректне відображення на окремих рахунках бухгалтерського обліку результатів фінансово-господарської діяльності таким чином, щоб чітко відстежувались:</w:t>
      </w:r>
    </w:p>
    <w:p w14:paraId="15C5D67F" w14:textId="63CE5F7D" w:rsidR="003D4A3E" w:rsidRPr="003D4A3E" w:rsidRDefault="003D4A3E" w:rsidP="003D4A3E">
      <w:pPr>
        <w:tabs>
          <w:tab w:val="left" w:pos="993"/>
        </w:tabs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– витрати та доходи, пов’язані з </w:t>
      </w:r>
      <w:r w:rsidRPr="00C77EEA">
        <w:rPr>
          <w:lang w:val="uk-UA"/>
        </w:rPr>
        <w:t xml:space="preserve">послугами </w:t>
      </w:r>
      <w:r w:rsidR="00ED4BA6" w:rsidRPr="00C77EEA">
        <w:rPr>
          <w:lang w:val="uk-UA"/>
        </w:rPr>
        <w:t xml:space="preserve">з постачання теплової енергії </w:t>
      </w:r>
      <w:r w:rsidRPr="00C77EEA">
        <w:rPr>
          <w:lang w:val="uk-UA"/>
        </w:rPr>
        <w:t xml:space="preserve">які КП ТМ </w:t>
      </w:r>
      <w:r w:rsidRPr="00C77EEA">
        <w:rPr>
          <w:spacing w:val="-2"/>
          <w:lang w:val="uk-UA"/>
        </w:rPr>
        <w:t>"</w:t>
      </w:r>
      <w:r w:rsidRPr="00C77EEA">
        <w:rPr>
          <w:lang w:val="uk-UA"/>
        </w:rPr>
        <w:t>ЮТКЕ</w:t>
      </w:r>
      <w:r w:rsidRPr="00C77EEA">
        <w:rPr>
          <w:spacing w:val="-2"/>
          <w:lang w:val="uk-UA"/>
        </w:rPr>
        <w:t>"</w:t>
      </w:r>
      <w:r w:rsidRPr="00C77EEA">
        <w:rPr>
          <w:lang w:val="uk-UA"/>
        </w:rPr>
        <w:t xml:space="preserve"> уповноважене надавати,  і, з іншого боку, витрати та доходи, пов’язані</w:t>
      </w:r>
      <w:r w:rsidRPr="003D4A3E">
        <w:rPr>
          <w:lang w:val="uk-UA"/>
        </w:rPr>
        <w:t xml:space="preserve"> з кожним іншим окремим товаром або послугою, щодо яких підприємство здійснює діяльність;</w:t>
      </w:r>
    </w:p>
    <w:p w14:paraId="61C27F9B" w14:textId="77777777" w:rsidR="003D4A3E" w:rsidRPr="003D4A3E" w:rsidRDefault="003D4A3E" w:rsidP="003D4A3E">
      <w:pPr>
        <w:tabs>
          <w:tab w:val="left" w:pos="993"/>
        </w:tabs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– повна інформація щодо методів, відповідно до яких витрати та доходи призначаються або розподіляються за різними видами діяльності. Ці методи мають базуватися на принципах бухгалтерського обліку: обумовленості, об’єктивності, прозорості та послідовності відповідно до національних або міжнародно визнаних </w:t>
      </w:r>
      <w:proofErr w:type="spellStart"/>
      <w:r w:rsidRPr="003D4A3E">
        <w:rPr>
          <w:lang w:val="uk-UA"/>
        </w:rPr>
        <w:t>методологій</w:t>
      </w:r>
      <w:proofErr w:type="spellEnd"/>
      <w:r w:rsidRPr="003D4A3E">
        <w:rPr>
          <w:lang w:val="uk-UA"/>
        </w:rPr>
        <w:t xml:space="preserve"> бухгалтерського обліку, зокрема калькуляції витрат за видом діяльності, та мають визначатись обліковою політикою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.</w:t>
      </w:r>
    </w:p>
    <w:p w14:paraId="7DA6435C" w14:textId="0B46336A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2.6. При розрахунку компенсації враховуються витрати 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на: оплату праці та нарахувань на оплату праці, оплату енергоносіїв, комунальних та інших послуг, сплату податків, придбання </w:t>
      </w:r>
      <w:r w:rsidRPr="00C77EEA">
        <w:rPr>
          <w:lang w:val="uk-UA"/>
        </w:rPr>
        <w:t xml:space="preserve">товарно-матеріальних цінностей необхідних для забезпечення роботи КП ТМ </w:t>
      </w:r>
      <w:r w:rsidRPr="00C77EEA">
        <w:rPr>
          <w:spacing w:val="-2"/>
          <w:lang w:val="uk-UA"/>
        </w:rPr>
        <w:t>"</w:t>
      </w:r>
      <w:r w:rsidRPr="00C77EEA">
        <w:rPr>
          <w:lang w:val="uk-UA"/>
        </w:rPr>
        <w:t>ЮТКЕ</w:t>
      </w:r>
      <w:r w:rsidRPr="00C77EEA">
        <w:rPr>
          <w:spacing w:val="-2"/>
          <w:lang w:val="uk-UA"/>
        </w:rPr>
        <w:t xml:space="preserve">" </w:t>
      </w:r>
      <w:r w:rsidRPr="00C77EEA">
        <w:rPr>
          <w:lang w:val="uk-UA"/>
        </w:rPr>
        <w:t xml:space="preserve">з надання </w:t>
      </w:r>
      <w:r w:rsidR="009321BD" w:rsidRPr="00C77EEA">
        <w:rPr>
          <w:lang w:val="uk-UA"/>
        </w:rPr>
        <w:t xml:space="preserve">послуг з постачання теплової енергії </w:t>
      </w:r>
      <w:r w:rsidRPr="00C77EEA">
        <w:rPr>
          <w:lang w:val="uk-UA"/>
        </w:rPr>
        <w:t>для всіх споживачів м. Южного.</w:t>
      </w:r>
      <w:r w:rsidR="009321BD" w:rsidRPr="00C77EEA">
        <w:rPr>
          <w:lang w:val="uk-UA"/>
        </w:rPr>
        <w:t xml:space="preserve"> Розподіл витрат між категоріями споживачів здійснюється пропорційно обсягам реалізації послуг з постачання теплової енергії, крім витрат на постачання та транспортування природного газу</w:t>
      </w:r>
      <w:r w:rsidR="000F3641" w:rsidRPr="00C77EEA">
        <w:rPr>
          <w:lang w:val="uk-UA"/>
        </w:rPr>
        <w:t>, які визначаються відповідно до Порядку розподілу витрат на постачання та транспортування природного газу КП ТМ «ЮТКЕ</w:t>
      </w:r>
      <w:r w:rsidR="00995F46" w:rsidRPr="00C77EEA">
        <w:rPr>
          <w:lang w:val="uk-UA"/>
        </w:rPr>
        <w:t xml:space="preserve">» </w:t>
      </w:r>
      <w:r w:rsidR="000F3641" w:rsidRPr="00C77EEA">
        <w:rPr>
          <w:lang w:val="uk-UA"/>
        </w:rPr>
        <w:t>за категоріями споживачів, погодженого заступником міського голови з питань діяльності виконавчих органів ради – начальником управління житлово-комунального господарства ЮМР та помісячними підтверджуючими розрахунками підприємства.</w:t>
      </w:r>
      <w:r w:rsidR="009321BD">
        <w:rPr>
          <w:lang w:val="uk-UA"/>
        </w:rPr>
        <w:t xml:space="preserve"> </w:t>
      </w:r>
    </w:p>
    <w:p w14:paraId="6E730965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2.7. Для підвищення прозорості, якщо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 поряд із виробництвом, транспортуванням та постачанням теплової енергії, наданням послуг з постачання теплової енергії для споживачів м. Южного займається й іншими видами діяльності, облікові рахунки різних видів діяльності повинні бути відокремлені та відповідати таким умовам:</w:t>
      </w:r>
    </w:p>
    <w:p w14:paraId="4E3C53F6" w14:textId="77777777" w:rsidR="003D4A3E" w:rsidRPr="003D4A3E" w:rsidRDefault="003D4A3E" w:rsidP="003D4A3E">
      <w:pPr>
        <w:tabs>
          <w:tab w:val="left" w:pos="993"/>
        </w:tabs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– облікові рахунки, що відповідають кожному з видів діяльності, повинні бути окремими, а частка відповідних активів і постійних витрат повинна розподілятися відповідно </w:t>
      </w:r>
      <w:r w:rsidRPr="003D4A3E">
        <w:rPr>
          <w:lang w:val="uk-UA"/>
        </w:rPr>
        <w:lastRenderedPageBreak/>
        <w:t>до чинних положень бухгалтерського обліку, податкового законодавства та облікової політики підприємства;</w:t>
      </w:r>
    </w:p>
    <w:p w14:paraId="7B6DF056" w14:textId="77777777" w:rsidR="003D4A3E" w:rsidRPr="003D4A3E" w:rsidRDefault="003D4A3E" w:rsidP="003D4A3E">
      <w:pPr>
        <w:tabs>
          <w:tab w:val="left" w:pos="993"/>
        </w:tabs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– всі витрати та доходи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, пов'язані з будь-якою іншою діяльністю, не можуть бути віднесені до витрат та доходів на надання ПЗЕІ.</w:t>
      </w:r>
    </w:p>
    <w:p w14:paraId="43AA09A1" w14:textId="1F2F2946" w:rsidR="003D4A3E" w:rsidRPr="003D4A3E" w:rsidRDefault="003D4A3E" w:rsidP="003D4A3E">
      <w:pPr>
        <w:ind w:right="-143" w:firstLine="709"/>
        <w:contextualSpacing/>
        <w:jc w:val="both"/>
        <w:rPr>
          <w:spacing w:val="-2"/>
          <w:lang w:val="uk-UA"/>
        </w:rPr>
      </w:pPr>
      <w:r w:rsidRPr="003D4A3E">
        <w:rPr>
          <w:lang w:val="uk-UA"/>
        </w:rPr>
        <w:t xml:space="preserve"> 2.8. </w:t>
      </w:r>
      <w:bookmarkStart w:id="9" w:name="_Hlk151123187"/>
      <w:r w:rsidRPr="003D4A3E">
        <w:rPr>
          <w:lang w:val="uk-UA"/>
        </w:rPr>
        <w:t xml:space="preserve">Перерахування компенсації витрат на надання послуг з постачання теплової енергії, її виробництва, транспортування та постачання </w:t>
      </w:r>
      <w:r w:rsidR="00A67F9F" w:rsidRPr="00C77EEA">
        <w:rPr>
          <w:lang w:val="uk-UA"/>
        </w:rPr>
        <w:t>населенн</w:t>
      </w:r>
      <w:r w:rsidR="00D96153" w:rsidRPr="00C77EEA">
        <w:rPr>
          <w:lang w:val="uk-UA"/>
        </w:rPr>
        <w:t>ю</w:t>
      </w:r>
      <w:r w:rsidR="00A67F9F" w:rsidRPr="00C77EEA">
        <w:rPr>
          <w:lang w:val="uk-UA"/>
        </w:rPr>
        <w:t xml:space="preserve"> </w:t>
      </w:r>
      <w:r w:rsidRPr="00C77EEA">
        <w:rPr>
          <w:lang w:val="uk-UA"/>
        </w:rPr>
        <w:t>м</w:t>
      </w:r>
      <w:r w:rsidRPr="003D4A3E">
        <w:rPr>
          <w:lang w:val="uk-UA"/>
        </w:rPr>
        <w:t xml:space="preserve">. Южного здійснюється на рахунки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 (одержувач бюджетних коштів),</w:t>
      </w:r>
      <w:r w:rsidRPr="003D4A3E">
        <w:rPr>
          <w:lang w:val="uk-UA"/>
        </w:rPr>
        <w:t xml:space="preserve"> відкриті в органах Державної казначейської служби України в установленому Законом порядку на підставі затвердженого рішення сесії Южненської міської ради. </w:t>
      </w:r>
      <w:bookmarkEnd w:id="9"/>
    </w:p>
    <w:p w14:paraId="6D403F06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2.9. Сума компенсації обґрунтованих витрат за надання ПЗЕІ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 xml:space="preserve">" </w:t>
      </w:r>
      <w:r w:rsidRPr="003D4A3E">
        <w:rPr>
          <w:lang w:val="uk-UA"/>
        </w:rPr>
        <w:t>перераховується в межах бюджетних призначень.</w:t>
      </w:r>
    </w:p>
    <w:p w14:paraId="54BECBB4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2.10. Бюджетні призначення для виплати компенсації обґрунтованих витрат за надання ПЗЕІ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встановлюються рішенням сесії про бюджет Южненської міської територіальної громади відповідно до діючих КПКВК на підставі бюджетного запиту головного розпорядника бюджетних коштів (управління житлово-комунального господарства Южненської міської ради) за умови ресурсної забезпеченості місцевого бюджету. </w:t>
      </w:r>
    </w:p>
    <w:p w14:paraId="3699A26A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>2.11 Фінансова підтримки з місцевого бюджету КП ТМ «ЮТКЕ» на компенсацію за надання ПЗЕІ не носить систематичний та постійний характер та надається виключно в межах наявних фінансових ресурсів місцевого бюджету.</w:t>
      </w:r>
    </w:p>
    <w:p w14:paraId="3EF8972C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</w:p>
    <w:p w14:paraId="61CC4494" w14:textId="3426F5C1" w:rsidR="003D4A3E" w:rsidRPr="003D4A3E" w:rsidRDefault="003D4A3E" w:rsidP="003D4A3E">
      <w:pPr>
        <w:ind w:right="-143" w:firstLine="709"/>
        <w:contextualSpacing/>
        <w:jc w:val="center"/>
        <w:rPr>
          <w:b/>
          <w:lang w:val="uk-UA"/>
        </w:rPr>
      </w:pPr>
      <w:r w:rsidRPr="003D4A3E">
        <w:rPr>
          <w:b/>
          <w:lang w:val="uk-UA"/>
        </w:rPr>
        <w:t xml:space="preserve">3.  Механізм для уникнення і повернення надмірної компенсації </w:t>
      </w:r>
      <w:r w:rsidRPr="003D4A3E">
        <w:rPr>
          <w:b/>
          <w:lang w:val="uk-UA"/>
        </w:rPr>
        <w:br/>
      </w:r>
      <w:r w:rsidRPr="003D4A3E">
        <w:rPr>
          <w:b/>
          <w:bCs/>
          <w:lang w:val="uk-UA"/>
        </w:rPr>
        <w:t xml:space="preserve">КП ТМ 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b/>
          <w:bCs/>
          <w:lang w:val="uk-UA"/>
        </w:rPr>
        <w:t>ЮТКЕ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b/>
          <w:lang w:val="uk-UA"/>
        </w:rPr>
        <w:t xml:space="preserve"> за надання ПЗЕІ з надання послуг з постачання теплової енергії, її виробництва</w:t>
      </w:r>
      <w:r w:rsidRPr="003D4A3E">
        <w:rPr>
          <w:lang w:val="uk-UA"/>
        </w:rPr>
        <w:t xml:space="preserve">, </w:t>
      </w:r>
      <w:r w:rsidRPr="003D4A3E">
        <w:rPr>
          <w:b/>
          <w:lang w:val="uk-UA"/>
        </w:rPr>
        <w:t xml:space="preserve">транспортування та постачання </w:t>
      </w:r>
      <w:r w:rsidRPr="000B210D">
        <w:rPr>
          <w:b/>
          <w:lang w:val="uk-UA"/>
        </w:rPr>
        <w:t>для</w:t>
      </w:r>
      <w:r w:rsidRPr="000B210D">
        <w:rPr>
          <w:lang w:val="uk-UA"/>
        </w:rPr>
        <w:t xml:space="preserve"> </w:t>
      </w:r>
      <w:r w:rsidR="00A67F9F" w:rsidRPr="000B210D">
        <w:rPr>
          <w:b/>
          <w:lang w:val="uk-UA"/>
        </w:rPr>
        <w:t>населення</w:t>
      </w:r>
      <w:r w:rsidR="00A67F9F" w:rsidRPr="000B210D">
        <w:rPr>
          <w:lang w:val="uk-UA"/>
        </w:rPr>
        <w:t xml:space="preserve"> </w:t>
      </w:r>
      <w:r w:rsidRPr="000B210D">
        <w:rPr>
          <w:b/>
          <w:lang w:val="uk-UA"/>
        </w:rPr>
        <w:t xml:space="preserve">м. </w:t>
      </w:r>
      <w:r w:rsidRPr="000B210D">
        <w:rPr>
          <w:b/>
          <w:bCs/>
          <w:lang w:val="uk-UA"/>
        </w:rPr>
        <w:t>Южного</w:t>
      </w:r>
      <w:r w:rsidRPr="000B210D">
        <w:rPr>
          <w:b/>
          <w:lang w:val="uk-UA"/>
        </w:rPr>
        <w:t xml:space="preserve"> у випадку надання у завищеному розмірі та  заходи щодо її</w:t>
      </w:r>
      <w:r w:rsidRPr="003D4A3E">
        <w:rPr>
          <w:b/>
          <w:lang w:val="uk-UA"/>
        </w:rPr>
        <w:t xml:space="preserve"> уникнення</w:t>
      </w:r>
    </w:p>
    <w:p w14:paraId="746FDA8C" w14:textId="77777777" w:rsidR="003D4A3E" w:rsidRPr="003D4A3E" w:rsidRDefault="003D4A3E" w:rsidP="003D4A3E">
      <w:pPr>
        <w:ind w:right="-143" w:firstLine="709"/>
        <w:contextualSpacing/>
        <w:jc w:val="center"/>
        <w:rPr>
          <w:b/>
          <w:lang w:val="uk-UA"/>
        </w:rPr>
      </w:pPr>
    </w:p>
    <w:p w14:paraId="02202593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3.1. Компенсація за надання ПЗЕІ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, не може перевищувати суму, необхідну для покриття чистої фінансової  різниці  між  понесеними  витратами  та  доходами, що визначена відповідно до розділу 2 Методики.</w:t>
      </w:r>
    </w:p>
    <w:p w14:paraId="264E1D7E" w14:textId="33C23584" w:rsidR="003D4A3E" w:rsidRPr="00103191" w:rsidRDefault="003D4A3E" w:rsidP="003D4A3E">
      <w:pPr>
        <w:widowControl w:val="0"/>
        <w:ind w:right="-143" w:firstLine="709"/>
        <w:contextualSpacing/>
        <w:jc w:val="both"/>
        <w:rPr>
          <w:lang w:val="uk-UA"/>
        </w:rPr>
      </w:pPr>
      <w:r w:rsidRPr="003D4A3E">
        <w:rPr>
          <w:lang w:val="uk-UA"/>
        </w:rPr>
        <w:t xml:space="preserve">3.2. З метою уникнення надмірної компенсації під час обчислення фінансового результату від надання послуг з ПЗЕІ,  КП ТМ 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>ЮТКЕ</w:t>
      </w:r>
      <w:r w:rsidRPr="003D4A3E">
        <w:rPr>
          <w:spacing w:val="-2"/>
          <w:lang w:val="uk-UA"/>
        </w:rPr>
        <w:t>"</w:t>
      </w:r>
      <w:r w:rsidRPr="003D4A3E">
        <w:rPr>
          <w:lang w:val="uk-UA"/>
        </w:rPr>
        <w:t xml:space="preserve"> щоквартально наростаючим підсумком в межах календарного року здійснює розрахунок рівня отриманої суми компенсації на покриття витрат від надання послуг з постачання теплової </w:t>
      </w:r>
      <w:r w:rsidRPr="00103191">
        <w:rPr>
          <w:lang w:val="uk-UA"/>
        </w:rPr>
        <w:t xml:space="preserve">енергії </w:t>
      </w:r>
      <w:r w:rsidR="00D059DA" w:rsidRPr="00103191">
        <w:rPr>
          <w:lang w:val="uk-UA"/>
        </w:rPr>
        <w:t xml:space="preserve">для </w:t>
      </w:r>
      <w:r w:rsidR="00A67F9F" w:rsidRPr="00103191">
        <w:rPr>
          <w:lang w:val="uk-UA"/>
        </w:rPr>
        <w:t xml:space="preserve">населення </w:t>
      </w:r>
      <w:r w:rsidRPr="00103191">
        <w:rPr>
          <w:lang w:val="uk-UA"/>
        </w:rPr>
        <w:t>м. Южного згідно з додатком 1 до Методики.</w:t>
      </w:r>
    </w:p>
    <w:p w14:paraId="1DCE413F" w14:textId="77777777" w:rsidR="003D4A3E" w:rsidRPr="003D4A3E" w:rsidRDefault="003D4A3E" w:rsidP="003D4A3E">
      <w:pPr>
        <w:tabs>
          <w:tab w:val="left" w:pos="1276"/>
        </w:tabs>
        <w:ind w:right="-143" w:firstLine="709"/>
        <w:contextualSpacing/>
        <w:jc w:val="both"/>
        <w:rPr>
          <w:spacing w:val="-2"/>
          <w:lang w:val="uk-UA"/>
        </w:rPr>
      </w:pPr>
      <w:r w:rsidRPr="00103191">
        <w:rPr>
          <w:lang w:val="uk-UA"/>
        </w:rPr>
        <w:t xml:space="preserve">3.3. </w:t>
      </w:r>
      <w:r w:rsidRPr="00103191">
        <w:rPr>
          <w:spacing w:val="-2"/>
          <w:lang w:val="uk-UA"/>
        </w:rPr>
        <w:t xml:space="preserve">Для контролю за надмірною компенсацією </w:t>
      </w:r>
      <w:r w:rsidRPr="00103191">
        <w:rPr>
          <w:lang w:val="uk-UA"/>
        </w:rPr>
        <w:t xml:space="preserve">КП ТМ </w:t>
      </w:r>
      <w:r w:rsidRPr="00103191">
        <w:rPr>
          <w:spacing w:val="-2"/>
          <w:lang w:val="uk-UA"/>
        </w:rPr>
        <w:t>"</w:t>
      </w:r>
      <w:r w:rsidRPr="00103191">
        <w:rPr>
          <w:lang w:val="uk-UA"/>
        </w:rPr>
        <w:t>ЮТКЕ</w:t>
      </w:r>
      <w:r w:rsidRPr="00103191">
        <w:rPr>
          <w:spacing w:val="-2"/>
          <w:lang w:val="uk-UA"/>
        </w:rPr>
        <w:t>"</w:t>
      </w:r>
      <w:r w:rsidRPr="00103191">
        <w:rPr>
          <w:lang w:val="uk-UA"/>
        </w:rPr>
        <w:t xml:space="preserve"> щокварталу,   в строки</w:t>
      </w:r>
      <w:r w:rsidRPr="003D4A3E">
        <w:rPr>
          <w:lang w:val="uk-UA"/>
        </w:rPr>
        <w:t xml:space="preserve"> до 31 травня, 31 серпня, 30 листопада, 31 березня наступного року, надає головному розпоряднику бюджетних коштів:</w:t>
      </w:r>
    </w:p>
    <w:p w14:paraId="0CA9C988" w14:textId="44D40F10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Pr="003D4A3E">
        <w:rPr>
          <w:lang w:val="uk-UA"/>
        </w:rPr>
        <w:t>Звіти про виконання фінансових планів разом із пояснювальною запискою щодо результатів діяльності із зазначенням напрямів використання вищезазначених коштів довільної форми;</w:t>
      </w:r>
    </w:p>
    <w:p w14:paraId="68A5305C" w14:textId="284D33C3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Pr="003D4A3E">
        <w:rPr>
          <w:lang w:val="uk-UA"/>
        </w:rPr>
        <w:t>Баланс – форма № 1;</w:t>
      </w:r>
    </w:p>
    <w:p w14:paraId="243D1DFA" w14:textId="34C7769D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Pr="003D4A3E">
        <w:rPr>
          <w:lang w:val="uk-UA"/>
        </w:rPr>
        <w:t>Звіт про фінансові результати – форма № 2;</w:t>
      </w:r>
    </w:p>
    <w:p w14:paraId="57B3D084" w14:textId="631E3668" w:rsidR="003D4A3E" w:rsidRDefault="003D4A3E" w:rsidP="003D4A3E">
      <w:pPr>
        <w:ind w:right="-143" w:firstLine="709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Pr="003D4A3E">
        <w:rPr>
          <w:lang w:val="uk-UA"/>
        </w:rPr>
        <w:t>Форма №1 про витрати виробництва та  фінансові показники діяльності суб'єктів господарювання від реалізації теплової енергії, надання послуг з постачання теплової енергії та постачання гарячої води, затверджена Наказом Міністерства розвитку громад та територій України від 16 грудня 2019 року №312 (у редакції наказу Міністерства розвитку громад та територій України від 04 жовтня 2022 року № 180);</w:t>
      </w:r>
    </w:p>
    <w:p w14:paraId="3B1216B5" w14:textId="3C8BC99E" w:rsidR="00A67F9F" w:rsidRPr="003D4A3E" w:rsidRDefault="00A67F9F" w:rsidP="003D4A3E">
      <w:pPr>
        <w:ind w:right="-143" w:firstLine="709"/>
        <w:contextualSpacing/>
        <w:jc w:val="both"/>
        <w:rPr>
          <w:lang w:val="uk-UA"/>
        </w:rPr>
      </w:pPr>
      <w:r w:rsidRPr="00103191">
        <w:rPr>
          <w:lang w:val="uk-UA"/>
        </w:rPr>
        <w:t>- помісячні розрахунки: розподіл витрат на постачання та транспортування природного газу</w:t>
      </w:r>
      <w:r w:rsidRPr="00103191">
        <w:t xml:space="preserve"> </w:t>
      </w:r>
      <w:r w:rsidRPr="00103191">
        <w:rPr>
          <w:lang w:val="uk-UA"/>
        </w:rPr>
        <w:t>за категоріями споживачів, спожитого КП ТМ "ЮТКЕ" для виробництва теплової енергії</w:t>
      </w:r>
      <w:r w:rsidR="00103191">
        <w:rPr>
          <w:lang w:val="uk-UA"/>
        </w:rPr>
        <w:t>;</w:t>
      </w:r>
    </w:p>
    <w:p w14:paraId="285349D9" w14:textId="4C42D5D4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Pr="003D4A3E">
        <w:rPr>
          <w:lang w:val="uk-UA"/>
        </w:rPr>
        <w:t xml:space="preserve">Розрахунок суми компенсації (додаток № 1) складений відповідно до фінансової </w:t>
      </w:r>
      <w:r w:rsidR="00A67F9F">
        <w:rPr>
          <w:lang w:val="uk-UA"/>
        </w:rPr>
        <w:t>звітності наростаючим підсумком;</w:t>
      </w:r>
    </w:p>
    <w:p w14:paraId="1E44C0E8" w14:textId="190A8D1B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3D4A3E">
        <w:rPr>
          <w:lang w:val="uk-UA"/>
        </w:rPr>
        <w:t>Інші документи за вимогою головного розпорядника коштів.</w:t>
      </w:r>
    </w:p>
    <w:p w14:paraId="4EA94B2A" w14:textId="0DA87D7D" w:rsidR="003D4A3E" w:rsidRPr="00103191" w:rsidRDefault="003D4A3E" w:rsidP="003D4A3E">
      <w:pPr>
        <w:ind w:right="-143" w:firstLine="709"/>
        <w:contextualSpacing/>
        <w:jc w:val="both"/>
        <w:rPr>
          <w:lang w:val="uk-UA"/>
        </w:rPr>
      </w:pPr>
      <w:bookmarkStart w:id="10" w:name="_Hlk151124490"/>
      <w:r w:rsidRPr="003D4A3E">
        <w:rPr>
          <w:lang w:val="uk-UA"/>
        </w:rPr>
        <w:t xml:space="preserve">Головний розпорядник бюджетних коштів проводить перевірку кожного кварталу протягом 15 робочих днів з дня отримання пакету документів, вказаних у даному пункті,  </w:t>
      </w:r>
      <w:r w:rsidRPr="00103191">
        <w:rPr>
          <w:lang w:val="uk-UA"/>
        </w:rPr>
        <w:t xml:space="preserve">протягом виконання зобов’язань. </w:t>
      </w:r>
    </w:p>
    <w:bookmarkEnd w:id="10"/>
    <w:p w14:paraId="4FB55DA7" w14:textId="08570DDD" w:rsidR="003D4A3E" w:rsidRPr="00103191" w:rsidRDefault="003D4A3E" w:rsidP="003D4A3E">
      <w:pPr>
        <w:ind w:right="-143" w:firstLine="709"/>
        <w:contextualSpacing/>
        <w:jc w:val="both"/>
        <w:rPr>
          <w:lang w:val="uk-UA"/>
        </w:rPr>
      </w:pPr>
      <w:r w:rsidRPr="00103191">
        <w:rPr>
          <w:lang w:val="uk-UA"/>
        </w:rPr>
        <w:t xml:space="preserve">3.4. Якщо КП ТМ </w:t>
      </w:r>
      <w:r w:rsidRPr="00103191">
        <w:rPr>
          <w:spacing w:val="-2"/>
          <w:lang w:val="uk-UA"/>
        </w:rPr>
        <w:t>"</w:t>
      </w:r>
      <w:r w:rsidRPr="00103191">
        <w:rPr>
          <w:lang w:val="uk-UA"/>
        </w:rPr>
        <w:t>ЮТКЕ</w:t>
      </w:r>
      <w:r w:rsidRPr="00103191">
        <w:rPr>
          <w:spacing w:val="-2"/>
          <w:lang w:val="uk-UA"/>
        </w:rPr>
        <w:t>"</w:t>
      </w:r>
      <w:r w:rsidRPr="00103191">
        <w:rPr>
          <w:b/>
          <w:bCs/>
          <w:spacing w:val="-2"/>
          <w:lang w:val="uk-UA"/>
        </w:rPr>
        <w:t xml:space="preserve"> </w:t>
      </w:r>
      <w:r w:rsidRPr="00103191">
        <w:rPr>
          <w:lang w:val="uk-UA"/>
        </w:rPr>
        <w:t xml:space="preserve">отримало компенсацію з місцевого бюджету (п. </w:t>
      </w:r>
      <w:r w:rsidR="00F2460C" w:rsidRPr="00103191">
        <w:rPr>
          <w:lang w:val="uk-UA"/>
        </w:rPr>
        <w:t>6</w:t>
      </w:r>
      <w:r w:rsidRPr="00103191">
        <w:rPr>
          <w:lang w:val="uk-UA"/>
        </w:rPr>
        <w:t xml:space="preserve"> розрахунку),  сума якої перевищує суму, яка підлягає відшкодуванню з місцевого бюджету  (п. </w:t>
      </w:r>
      <w:r w:rsidR="00F2460C" w:rsidRPr="00103191">
        <w:rPr>
          <w:lang w:val="uk-UA"/>
        </w:rPr>
        <w:t>5</w:t>
      </w:r>
      <w:r w:rsidRPr="00103191">
        <w:rPr>
          <w:lang w:val="uk-UA"/>
        </w:rPr>
        <w:t xml:space="preserve"> розрахунку), то така надлишкова </w:t>
      </w:r>
      <w:bookmarkStart w:id="11" w:name="_Hlk151536318"/>
      <w:r w:rsidRPr="00103191">
        <w:rPr>
          <w:lang w:val="uk-UA"/>
        </w:rPr>
        <w:t>компенсація</w:t>
      </w:r>
      <w:bookmarkEnd w:id="11"/>
      <w:r w:rsidRPr="00103191">
        <w:rPr>
          <w:lang w:val="uk-UA"/>
        </w:rPr>
        <w:t xml:space="preserve"> підлягає поверненню до бюджету Южненської міської територіальної громади. </w:t>
      </w:r>
    </w:p>
    <w:p w14:paraId="7BD6AFDF" w14:textId="77777777" w:rsidR="003D4A3E" w:rsidRPr="00103191" w:rsidRDefault="003D4A3E" w:rsidP="003D4A3E">
      <w:pPr>
        <w:ind w:right="-143" w:firstLine="709"/>
        <w:contextualSpacing/>
        <w:jc w:val="both"/>
        <w:rPr>
          <w:lang w:val="uk-UA"/>
        </w:rPr>
      </w:pPr>
      <w:r w:rsidRPr="00103191">
        <w:rPr>
          <w:lang w:val="uk-UA"/>
        </w:rPr>
        <w:t>Якщо сума надлишкової компенсації не перевищує 10% суми середньорічної компенсації, вона переноситься і враховується при розрахунку суми компенсації, яка може бути надана за наступний розрахунковий період.</w:t>
      </w:r>
    </w:p>
    <w:p w14:paraId="762606E7" w14:textId="77777777" w:rsidR="003D4A3E" w:rsidRPr="00103191" w:rsidRDefault="003D4A3E" w:rsidP="003D4A3E">
      <w:pPr>
        <w:ind w:right="-143" w:firstLine="709"/>
        <w:contextualSpacing/>
        <w:jc w:val="both"/>
        <w:rPr>
          <w:lang w:val="uk-UA"/>
        </w:rPr>
      </w:pPr>
      <w:bookmarkStart w:id="12" w:name="_Hlk153351750"/>
      <w:r w:rsidRPr="00103191">
        <w:rPr>
          <w:lang w:val="uk-UA"/>
        </w:rPr>
        <w:t>3.5. Крім того, при розрахунку розміру компенсації враховується будь-яке інше фінансування з місцевого бюджету, отримане КП ТМ «ЮТКЕ» в періоді, за який розраховується компенсація ПЗЕІ, крім поворотної фінансової допомоги.</w:t>
      </w:r>
    </w:p>
    <w:bookmarkEnd w:id="12"/>
    <w:p w14:paraId="2BE3C6BA" w14:textId="6BE3A22E" w:rsidR="003D4A3E" w:rsidRPr="00103191" w:rsidRDefault="003D4A3E" w:rsidP="003D4A3E">
      <w:pPr>
        <w:ind w:right="-143" w:firstLine="709"/>
        <w:contextualSpacing/>
        <w:jc w:val="both"/>
        <w:rPr>
          <w:lang w:val="uk-UA"/>
        </w:rPr>
      </w:pPr>
      <w:r w:rsidRPr="00103191">
        <w:rPr>
          <w:lang w:val="uk-UA"/>
        </w:rPr>
        <w:t>3.6. В разі отримання компенсації заборгованості з різниці в тарифах на виробництво, транспортування та постачання теплової енергії, на теплову енергію, послуги з постачання теплової енергії з державного бюджету в періоді, за який розраховується та надається компенсація за надання ПЗЕІ з місцевого бюджету, то така сума компенсації з місцевого бюджету зменшується на суму компенсації, отриманої з державного бюджету</w:t>
      </w:r>
      <w:r w:rsidR="00A67F9F" w:rsidRPr="00103191">
        <w:rPr>
          <w:lang w:val="uk-UA"/>
        </w:rPr>
        <w:t xml:space="preserve"> по категорії споживачів «Населення»</w:t>
      </w:r>
      <w:r w:rsidRPr="00103191">
        <w:rPr>
          <w:lang w:val="uk-UA"/>
        </w:rPr>
        <w:t>.</w:t>
      </w:r>
    </w:p>
    <w:p w14:paraId="5C4B9C52" w14:textId="77777777" w:rsidR="003D4A3E" w:rsidRPr="003D4A3E" w:rsidRDefault="003D4A3E" w:rsidP="003D4A3E">
      <w:pPr>
        <w:ind w:right="-143" w:firstLine="709"/>
        <w:contextualSpacing/>
        <w:jc w:val="both"/>
        <w:rPr>
          <w:lang w:val="uk-UA"/>
        </w:rPr>
      </w:pPr>
      <w:r w:rsidRPr="00103191">
        <w:rPr>
          <w:lang w:val="uk-UA"/>
        </w:rPr>
        <w:t xml:space="preserve">3.7. </w:t>
      </w:r>
      <w:bookmarkStart w:id="13" w:name="_Hlk151124449"/>
      <w:r w:rsidRPr="00103191">
        <w:rPr>
          <w:lang w:val="uk-UA"/>
        </w:rPr>
        <w:t>Відповідальність</w:t>
      </w:r>
      <w:r w:rsidRPr="003D4A3E">
        <w:rPr>
          <w:lang w:val="uk-UA"/>
        </w:rPr>
        <w:t xml:space="preserve"> за повноту і правильність даних, необхідних для розрахунку компенсації обґрунтованих витрат за надання ПЗЕІ несе </w:t>
      </w:r>
      <w:r w:rsidRPr="003D4A3E">
        <w:rPr>
          <w:b/>
          <w:bCs/>
          <w:lang w:val="uk-UA"/>
        </w:rPr>
        <w:t xml:space="preserve">КП ТМ 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b/>
          <w:bCs/>
          <w:lang w:val="uk-UA"/>
        </w:rPr>
        <w:t>ЮТКЕ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lang w:val="uk-UA"/>
        </w:rPr>
        <w:t>.</w:t>
      </w:r>
    </w:p>
    <w:p w14:paraId="5BB8CBF5" w14:textId="77777777" w:rsidR="003D4A3E" w:rsidRPr="003D4A3E" w:rsidRDefault="003D4A3E" w:rsidP="003D4A3E">
      <w:pPr>
        <w:jc w:val="both"/>
        <w:rPr>
          <w:lang w:val="uk-UA"/>
        </w:rPr>
      </w:pPr>
    </w:p>
    <w:bookmarkEnd w:id="13"/>
    <w:p w14:paraId="5B754B7F" w14:textId="77777777" w:rsidR="003D4A3E" w:rsidRPr="003D4A3E" w:rsidRDefault="003D4A3E" w:rsidP="003D4A3E">
      <w:pPr>
        <w:pStyle w:val="a5"/>
        <w:spacing w:after="0"/>
        <w:ind w:right="-143"/>
        <w:rPr>
          <w:lang w:val="uk-UA"/>
        </w:rPr>
      </w:pPr>
    </w:p>
    <w:p w14:paraId="56887B32" w14:textId="13E2E8E6" w:rsidR="003D4A3E" w:rsidRPr="003D4A3E" w:rsidRDefault="003D4A3E" w:rsidP="003D4A3E">
      <w:pPr>
        <w:jc w:val="both"/>
        <w:rPr>
          <w:lang w:val="uk-UA"/>
        </w:rPr>
      </w:pPr>
    </w:p>
    <w:p w14:paraId="4CEB1517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7194EAB8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78FD8D1A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28B71518" w14:textId="77777777" w:rsidR="00A63DCC" w:rsidRDefault="00A63DCC" w:rsidP="00A63DCC">
      <w:pPr>
        <w:rPr>
          <w:lang w:val="uk-UA"/>
        </w:rPr>
      </w:pPr>
      <w:r>
        <w:rPr>
          <w:lang w:val="uk-UA"/>
        </w:rPr>
        <w:t>Виконавці :                      Ірина Іванова</w:t>
      </w:r>
    </w:p>
    <w:p w14:paraId="12B0FB5C" w14:textId="77777777" w:rsidR="00A63DCC" w:rsidRDefault="00A63DCC" w:rsidP="00A63DCC">
      <w:pPr>
        <w:rPr>
          <w:lang w:val="uk-UA"/>
        </w:rPr>
      </w:pPr>
    </w:p>
    <w:p w14:paraId="2AA7B065" w14:textId="77777777" w:rsidR="00A63DCC" w:rsidRPr="003D4A3E" w:rsidRDefault="00A63DCC" w:rsidP="00A63DCC">
      <w:pPr>
        <w:rPr>
          <w:lang w:val="uk-UA"/>
        </w:rPr>
      </w:pPr>
      <w:r>
        <w:rPr>
          <w:lang w:val="uk-UA"/>
        </w:rPr>
        <w:t xml:space="preserve">                                          Віра ОСАДЧУК</w:t>
      </w:r>
    </w:p>
    <w:p w14:paraId="52C776D5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4926991A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68CC5E79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0351349B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5D5BE052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28B9849B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7020FE7B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3CCF9C29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03A6A4E5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2B108A0F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348D2303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25850175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7A95B766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5CA9B259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752BE88E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308582D4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0CF8C095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3E00C522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3E977B40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54600E2E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040CE2F1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7D6ADE0F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07D5F398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35EEB15C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</w:p>
    <w:p w14:paraId="0ECEECB6" w14:textId="77777777" w:rsidR="003D4A3E" w:rsidRPr="003D4A3E" w:rsidRDefault="003D4A3E" w:rsidP="003D4A3E">
      <w:pPr>
        <w:ind w:left="5387" w:right="-284" w:firstLine="6"/>
        <w:contextualSpacing/>
        <w:rPr>
          <w:lang w:val="uk-UA"/>
        </w:rPr>
      </w:pPr>
      <w:r w:rsidRPr="003D4A3E">
        <w:rPr>
          <w:lang w:val="uk-UA"/>
        </w:rPr>
        <w:t>Додаток 1</w:t>
      </w:r>
    </w:p>
    <w:p w14:paraId="335BCDB9" w14:textId="77777777" w:rsidR="003D4A3E" w:rsidRPr="003D4A3E" w:rsidRDefault="003D4A3E" w:rsidP="003D4A3E">
      <w:pPr>
        <w:tabs>
          <w:tab w:val="left" w:pos="5529"/>
        </w:tabs>
        <w:ind w:left="5387" w:right="-284" w:firstLine="6"/>
        <w:contextualSpacing/>
        <w:rPr>
          <w:lang w:val="uk-UA"/>
        </w:rPr>
      </w:pPr>
      <w:r w:rsidRPr="003D4A3E">
        <w:rPr>
          <w:lang w:val="uk-UA"/>
        </w:rPr>
        <w:t xml:space="preserve">до Методики розрахунку компенсації обґрунтованих витрат КП ТМ </w:t>
      </w:r>
      <w:r w:rsidRPr="003D4A3E">
        <w:rPr>
          <w:spacing w:val="-2"/>
          <w:lang w:val="uk-UA"/>
        </w:rPr>
        <w:t>"ЮТКЕ"</w:t>
      </w:r>
      <w:r w:rsidRPr="003D4A3E">
        <w:rPr>
          <w:lang w:val="uk-UA"/>
        </w:rPr>
        <w:t xml:space="preserve"> за надання послуг, що становлять загальний економічний інтерес, контролю та перегляду такої компенсації </w:t>
      </w:r>
    </w:p>
    <w:p w14:paraId="63EFF03F" w14:textId="77777777" w:rsidR="003D4A3E" w:rsidRPr="003D4A3E" w:rsidRDefault="003D4A3E" w:rsidP="003D4A3E">
      <w:pPr>
        <w:ind w:left="5664" w:firstLine="708"/>
        <w:contextualSpacing/>
        <w:jc w:val="both"/>
        <w:rPr>
          <w:lang w:val="uk-UA"/>
        </w:rPr>
      </w:pPr>
    </w:p>
    <w:p w14:paraId="06E08A04" w14:textId="77777777" w:rsidR="003D4A3E" w:rsidRPr="003D4A3E" w:rsidRDefault="003D4A3E" w:rsidP="003D4A3E">
      <w:pPr>
        <w:ind w:firstLine="709"/>
        <w:jc w:val="center"/>
        <w:rPr>
          <w:b/>
          <w:lang w:val="uk-UA"/>
        </w:rPr>
      </w:pPr>
      <w:r w:rsidRPr="003D4A3E">
        <w:rPr>
          <w:b/>
          <w:lang w:val="uk-UA"/>
        </w:rPr>
        <w:t>РОЗРАХУНОК</w:t>
      </w:r>
    </w:p>
    <w:p w14:paraId="6F1B68DB" w14:textId="77777777" w:rsidR="003D4A3E" w:rsidRPr="003D4A3E" w:rsidRDefault="003D4A3E" w:rsidP="003D4A3E">
      <w:pPr>
        <w:ind w:firstLine="709"/>
        <w:jc w:val="center"/>
        <w:rPr>
          <w:b/>
          <w:lang w:val="uk-UA"/>
        </w:rPr>
      </w:pPr>
      <w:r w:rsidRPr="003D4A3E">
        <w:rPr>
          <w:b/>
          <w:lang w:val="uk-UA"/>
        </w:rPr>
        <w:t xml:space="preserve">суми компенсації обґрунтованих витрат на надання послуг, </w:t>
      </w:r>
    </w:p>
    <w:p w14:paraId="09929C9D" w14:textId="77777777" w:rsidR="003D4A3E" w:rsidRPr="003D4A3E" w:rsidRDefault="003D4A3E" w:rsidP="003D4A3E">
      <w:pPr>
        <w:ind w:firstLine="709"/>
        <w:jc w:val="center"/>
        <w:rPr>
          <w:b/>
          <w:lang w:val="uk-UA"/>
        </w:rPr>
      </w:pPr>
      <w:r w:rsidRPr="003D4A3E">
        <w:rPr>
          <w:b/>
          <w:lang w:val="uk-UA"/>
        </w:rPr>
        <w:t xml:space="preserve">що становлять загальний економічний інтерес, </w:t>
      </w:r>
      <w:r w:rsidRPr="003D4A3E">
        <w:rPr>
          <w:b/>
          <w:bCs/>
          <w:lang w:val="uk-UA"/>
        </w:rPr>
        <w:t xml:space="preserve">КП ТМ </w:t>
      </w:r>
      <w:r w:rsidRPr="003D4A3E">
        <w:rPr>
          <w:b/>
          <w:bCs/>
          <w:spacing w:val="-2"/>
          <w:lang w:val="uk-UA"/>
        </w:rPr>
        <w:t>"</w:t>
      </w:r>
      <w:r w:rsidRPr="003D4A3E">
        <w:rPr>
          <w:b/>
          <w:bCs/>
          <w:lang w:val="uk-UA"/>
        </w:rPr>
        <w:t>ЮТКЕ</w:t>
      </w:r>
      <w:r w:rsidRPr="003D4A3E">
        <w:rPr>
          <w:b/>
          <w:bCs/>
          <w:spacing w:val="-2"/>
          <w:lang w:val="uk-UA"/>
        </w:rPr>
        <w:t>"</w:t>
      </w:r>
    </w:p>
    <w:p w14:paraId="588EDAAC" w14:textId="77777777" w:rsidR="003D4A3E" w:rsidRPr="003D4A3E" w:rsidRDefault="003D4A3E" w:rsidP="003D4A3E">
      <w:pPr>
        <w:ind w:firstLine="709"/>
        <w:jc w:val="center"/>
        <w:rPr>
          <w:b/>
          <w:lang w:val="uk-UA"/>
        </w:rPr>
      </w:pPr>
      <w:r w:rsidRPr="003D4A3E">
        <w:rPr>
          <w:b/>
          <w:lang w:val="uk-UA"/>
        </w:rPr>
        <w:t>за ________20__ року</w:t>
      </w:r>
    </w:p>
    <w:p w14:paraId="7B67D5B1" w14:textId="77777777" w:rsidR="003D4A3E" w:rsidRPr="003D4A3E" w:rsidRDefault="003D4A3E" w:rsidP="003D4A3E">
      <w:pPr>
        <w:ind w:right="203"/>
        <w:contextualSpacing/>
        <w:jc w:val="right"/>
        <w:rPr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1276"/>
        <w:gridCol w:w="1235"/>
        <w:gridCol w:w="1134"/>
        <w:gridCol w:w="1174"/>
        <w:gridCol w:w="1276"/>
      </w:tblGrid>
      <w:tr w:rsidR="004C554B" w:rsidRPr="004C554B" w14:paraId="131037AF" w14:textId="77777777" w:rsidTr="00ED07E8">
        <w:trPr>
          <w:trHeight w:val="1074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7DE601" w14:textId="77777777" w:rsidR="004C554B" w:rsidRPr="004C554B" w:rsidRDefault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6D2B34" w14:textId="77777777" w:rsidR="004C554B" w:rsidRDefault="004C554B">
            <w:pPr>
              <w:ind w:left="34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Найменування</w:t>
            </w:r>
          </w:p>
          <w:p w14:paraId="4DED9432" w14:textId="77777777" w:rsidR="006A48F5" w:rsidRPr="004C554B" w:rsidRDefault="006A48F5">
            <w:pPr>
              <w:ind w:left="34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5B2838" w14:textId="09DEAC46" w:rsidR="004C554B" w:rsidRPr="004C554B" w:rsidRDefault="004C554B">
            <w:pPr>
              <w:ind w:left="-1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 xml:space="preserve">Загальна </w:t>
            </w:r>
            <w:r w:rsidRPr="004C554B">
              <w:rPr>
                <w:sz w:val="22"/>
                <w:szCs w:val="22"/>
                <w:lang w:val="uk-UA"/>
              </w:rPr>
              <w:br/>
              <w:t>  сума, згідно Звіту про фінансові результати  Ф-1</w:t>
            </w:r>
          </w:p>
          <w:p w14:paraId="7A22AEF4" w14:textId="77777777" w:rsidR="004C554B" w:rsidRPr="004C554B" w:rsidRDefault="004C554B">
            <w:pPr>
              <w:ind w:left="-1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CE84" w14:textId="77777777" w:rsidR="004C554B" w:rsidRPr="004C554B" w:rsidRDefault="004C554B">
            <w:pPr>
              <w:ind w:right="284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У т. ч.: за</w:t>
            </w:r>
          </w:p>
          <w:p w14:paraId="1087CCE9" w14:textId="6E074402" w:rsidR="004C554B" w:rsidRPr="004C554B" w:rsidRDefault="004C554B" w:rsidP="00A67F9F">
            <w:pPr>
              <w:ind w:right="284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діяльністю, пов’язаною з наданням послуг з постачання теплової енергії, тис. грн.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03B3A8" w14:textId="1528548E" w:rsidR="004C554B" w:rsidRPr="004C554B" w:rsidRDefault="004C554B">
            <w:pPr>
              <w:ind w:right="284"/>
              <w:contextualSpacing/>
              <w:jc w:val="center"/>
              <w:rPr>
                <w:sz w:val="21"/>
                <w:szCs w:val="21"/>
                <w:lang w:val="uk-UA"/>
              </w:rPr>
            </w:pPr>
            <w:r w:rsidRPr="004C554B">
              <w:rPr>
                <w:sz w:val="21"/>
                <w:szCs w:val="21"/>
                <w:lang w:val="uk-UA"/>
              </w:rPr>
              <w:t xml:space="preserve">За іншою </w:t>
            </w:r>
            <w:proofErr w:type="spellStart"/>
            <w:r w:rsidRPr="004C554B">
              <w:rPr>
                <w:sz w:val="21"/>
                <w:szCs w:val="21"/>
                <w:lang w:val="uk-UA"/>
              </w:rPr>
              <w:t>діяль</w:t>
            </w:r>
            <w:r w:rsidR="004F1F74">
              <w:rPr>
                <w:sz w:val="21"/>
                <w:szCs w:val="21"/>
                <w:lang w:val="uk-UA"/>
              </w:rPr>
              <w:t>-</w:t>
            </w:r>
            <w:r w:rsidRPr="004C554B">
              <w:rPr>
                <w:sz w:val="21"/>
                <w:szCs w:val="21"/>
                <w:lang w:val="uk-UA"/>
              </w:rPr>
              <w:t>ністю</w:t>
            </w:r>
            <w:proofErr w:type="spellEnd"/>
            <w:r w:rsidRPr="004C554B">
              <w:rPr>
                <w:sz w:val="21"/>
                <w:szCs w:val="21"/>
                <w:lang w:val="uk-UA"/>
              </w:rPr>
              <w:t>, тис. грн.</w:t>
            </w:r>
          </w:p>
        </w:tc>
      </w:tr>
      <w:tr w:rsidR="004C554B" w:rsidRPr="004C554B" w14:paraId="4AD13E09" w14:textId="77777777" w:rsidTr="004F1F74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C82" w14:textId="77777777" w:rsidR="004C554B" w:rsidRPr="004C554B" w:rsidRDefault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C8D4" w14:textId="77777777" w:rsidR="004C554B" w:rsidRPr="004C554B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914" w14:textId="77777777" w:rsidR="004C554B" w:rsidRPr="004C554B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C040" w14:textId="446E0719" w:rsidR="004C554B" w:rsidRPr="004C554B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22A1" w14:textId="486A9DB5" w:rsidR="004C554B" w:rsidRPr="004C554B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>ПЗЕІ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2815" w14:textId="2BDB3FB9" w:rsidR="004C554B" w:rsidRPr="004C554B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4C554B">
              <w:rPr>
                <w:sz w:val="22"/>
                <w:szCs w:val="22"/>
                <w:lang w:val="uk-UA"/>
              </w:rPr>
              <w:t xml:space="preserve">Інші </w:t>
            </w:r>
            <w:proofErr w:type="spellStart"/>
            <w:r w:rsidRPr="004C554B">
              <w:rPr>
                <w:sz w:val="22"/>
                <w:szCs w:val="22"/>
                <w:lang w:val="uk-UA"/>
              </w:rPr>
              <w:t>катего</w:t>
            </w:r>
            <w:r w:rsidR="004F1F74">
              <w:rPr>
                <w:sz w:val="22"/>
                <w:szCs w:val="22"/>
                <w:lang w:val="uk-UA"/>
              </w:rPr>
              <w:t>-</w:t>
            </w:r>
            <w:r w:rsidRPr="004C554B">
              <w:rPr>
                <w:sz w:val="22"/>
                <w:szCs w:val="22"/>
                <w:lang w:val="uk-UA"/>
              </w:rPr>
              <w:t>рії</w:t>
            </w:r>
            <w:proofErr w:type="spellEnd"/>
            <w:r w:rsidRPr="004C554B">
              <w:rPr>
                <w:sz w:val="22"/>
                <w:szCs w:val="22"/>
                <w:lang w:val="uk-UA"/>
              </w:rPr>
              <w:t xml:space="preserve"> спожи-</w:t>
            </w:r>
            <w:proofErr w:type="spellStart"/>
            <w:r w:rsidRPr="004C554B">
              <w:rPr>
                <w:sz w:val="22"/>
                <w:szCs w:val="22"/>
                <w:lang w:val="uk-UA"/>
              </w:rPr>
              <w:t>вачів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49FD" w14:textId="44CCCD27" w:rsidR="004C554B" w:rsidRPr="004C554B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0C25AC1F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ED98" w14:textId="77777777" w:rsidR="004C554B" w:rsidRPr="00103191" w:rsidRDefault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C2D3" w14:textId="77777777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F3FD" w14:textId="77777777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1ADC" w14:textId="77777777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F850" w14:textId="719EB540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9C9" w14:textId="709C55AD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3D9E" w14:textId="004815D1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7</w:t>
            </w:r>
          </w:p>
        </w:tc>
      </w:tr>
      <w:tr w:rsidR="004F1F74" w:rsidRPr="00103191" w14:paraId="292A3533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9168" w14:textId="5347BEEA" w:rsidR="004F1F74" w:rsidRPr="00103191" w:rsidRDefault="004F1F74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499" w14:textId="41AF4E8C" w:rsidR="004F1F74" w:rsidRPr="00103191" w:rsidRDefault="004F1F74" w:rsidP="004F1F74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Обсяги реалізації </w:t>
            </w:r>
            <w:r w:rsidR="00D50BAB" w:rsidRPr="00103191">
              <w:rPr>
                <w:lang w:val="uk-UA"/>
              </w:rPr>
              <w:t>послуг з постачання теплової енергії</w:t>
            </w:r>
            <w:r w:rsidRPr="00103191">
              <w:rPr>
                <w:sz w:val="22"/>
                <w:szCs w:val="22"/>
                <w:lang w:val="uk-UA"/>
              </w:rPr>
              <w:t>, 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80C" w14:textId="77777777" w:rsidR="004F1F74" w:rsidRPr="00103191" w:rsidRDefault="004F1F74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C5BB" w14:textId="77777777" w:rsidR="004F1F74" w:rsidRPr="00103191" w:rsidRDefault="004F1F74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398" w14:textId="77777777" w:rsidR="004F1F74" w:rsidRPr="00103191" w:rsidRDefault="004F1F74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B97" w14:textId="77777777" w:rsidR="004F1F74" w:rsidRPr="00103191" w:rsidRDefault="004F1F74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DA43" w14:textId="77777777" w:rsidR="004F1F74" w:rsidRPr="00103191" w:rsidRDefault="004F1F74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34EE85B5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CCF3" w14:textId="2204520A" w:rsidR="004C554B" w:rsidRPr="00103191" w:rsidRDefault="004F1F74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B35C8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Фактичні витрати – всього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19A3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7635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C059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3D6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9A1" w14:textId="79534A99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62C906F3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4EA4" w14:textId="77777777" w:rsidR="004C554B" w:rsidRPr="00103191" w:rsidRDefault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CAE9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із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249D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7F4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9883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4CA8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8F8" w14:textId="43085CC8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10A1D2CE" w14:textId="77777777" w:rsidTr="004F1F74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95B5" w14:textId="20355BC6" w:rsidR="004C554B" w:rsidRPr="00103191" w:rsidRDefault="004F1F74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1D24" w14:textId="77777777" w:rsidR="004C554B" w:rsidRPr="00103191" w:rsidRDefault="004C554B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заробітна плата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C67F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B680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09E9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8EEC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2776" w14:textId="4875A75E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5E19AAD5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E2E8" w14:textId="5B5467E9" w:rsidR="004C554B" w:rsidRPr="00103191" w:rsidRDefault="004F1F74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AF5B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нарахування на оплату праці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FE10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9B01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948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E20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47C" w14:textId="4B51E26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199F4E94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99A7" w14:textId="73D85793" w:rsidR="004C554B" w:rsidRPr="00103191" w:rsidRDefault="004F1F74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6133" w14:textId="59C282DF" w:rsidR="004C554B" w:rsidRPr="00103191" w:rsidRDefault="004C554B" w:rsidP="00696DE6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постачання та транспортування природного газу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D0F1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194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7639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2FD8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057" w14:textId="5DF879E5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0A726B22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DF8" w14:textId="3DDCBEA1" w:rsidR="004C554B" w:rsidRPr="00103191" w:rsidRDefault="004F1F74" w:rsidP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386" w14:textId="16238200" w:rsidR="004C554B" w:rsidRPr="00103191" w:rsidRDefault="004C554B" w:rsidP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розподіл природного газу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BE4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8D38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CB1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9DA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B16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12240457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367F" w14:textId="3ED163FE" w:rsidR="004C554B" w:rsidRPr="00103191" w:rsidRDefault="004F1F74" w:rsidP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587E" w14:textId="6A8D7772" w:rsidR="004C554B" w:rsidRPr="00103191" w:rsidRDefault="004C554B" w:rsidP="006A48F5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 інш</w:t>
            </w:r>
            <w:r w:rsidR="006A48F5" w:rsidRPr="00103191">
              <w:rPr>
                <w:sz w:val="22"/>
                <w:szCs w:val="22"/>
                <w:lang w:val="uk-UA"/>
              </w:rPr>
              <w:t>і енергоносії</w:t>
            </w:r>
            <w:r w:rsidRPr="00103191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8FA6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DC8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1C92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E215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0A0" w14:textId="7E5D2949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7F4ADC23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4BC2" w14:textId="514581A5" w:rsidR="004C554B" w:rsidRPr="00103191" w:rsidRDefault="004F1F74" w:rsidP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1643" w14:textId="14D371F2" w:rsidR="004C554B" w:rsidRPr="00103191" w:rsidRDefault="004C554B" w:rsidP="006A48F5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 інш</w:t>
            </w:r>
            <w:r w:rsidR="006A48F5" w:rsidRPr="00103191">
              <w:rPr>
                <w:sz w:val="22"/>
                <w:szCs w:val="22"/>
                <w:lang w:val="uk-UA"/>
              </w:rPr>
              <w:t>і</w:t>
            </w:r>
            <w:r w:rsidRPr="00103191">
              <w:rPr>
                <w:sz w:val="22"/>
                <w:szCs w:val="22"/>
                <w:lang w:val="uk-UA"/>
              </w:rPr>
              <w:t xml:space="preserve"> послуг</w:t>
            </w:r>
            <w:r w:rsidR="006A48F5" w:rsidRPr="00103191">
              <w:rPr>
                <w:sz w:val="22"/>
                <w:szCs w:val="22"/>
                <w:lang w:val="uk-UA"/>
              </w:rPr>
              <w:t>и</w:t>
            </w:r>
            <w:r w:rsidRPr="00103191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D870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2132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136A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3017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5334" w14:textId="17BF368B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0F90569D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1A6E" w14:textId="6C91D8E3" w:rsidR="004C554B" w:rsidRPr="00103191" w:rsidRDefault="004F1F74" w:rsidP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E791" w14:textId="7EB7A98C" w:rsidR="004C554B" w:rsidRPr="00103191" w:rsidRDefault="004C554B" w:rsidP="006A48F5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 податк</w:t>
            </w:r>
            <w:r w:rsidR="006A48F5" w:rsidRPr="00103191">
              <w:rPr>
                <w:sz w:val="22"/>
                <w:szCs w:val="22"/>
                <w:lang w:val="uk-UA"/>
              </w:rPr>
              <w:t>и</w:t>
            </w:r>
            <w:r w:rsidRPr="00103191">
              <w:rPr>
                <w:sz w:val="22"/>
                <w:szCs w:val="22"/>
                <w:lang w:val="uk-UA"/>
              </w:rPr>
              <w:t xml:space="preserve"> та інш</w:t>
            </w:r>
            <w:r w:rsidR="006A48F5" w:rsidRPr="00103191">
              <w:rPr>
                <w:sz w:val="22"/>
                <w:szCs w:val="22"/>
                <w:lang w:val="uk-UA"/>
              </w:rPr>
              <w:t>і</w:t>
            </w:r>
            <w:r w:rsidRPr="00103191">
              <w:rPr>
                <w:sz w:val="22"/>
                <w:szCs w:val="22"/>
                <w:lang w:val="uk-UA"/>
              </w:rPr>
              <w:t xml:space="preserve"> обов’язков</w:t>
            </w:r>
            <w:r w:rsidR="006A48F5" w:rsidRPr="00103191">
              <w:rPr>
                <w:sz w:val="22"/>
                <w:szCs w:val="22"/>
                <w:lang w:val="uk-UA"/>
              </w:rPr>
              <w:t>і</w:t>
            </w:r>
            <w:r w:rsidRPr="00103191">
              <w:rPr>
                <w:sz w:val="22"/>
                <w:szCs w:val="22"/>
                <w:lang w:val="uk-UA"/>
              </w:rPr>
              <w:t xml:space="preserve"> платежі до бюджету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9E63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076B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9AE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099E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6A58" w14:textId="0BEDA1AC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5D86F1CB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71B2" w14:textId="05A8A215" w:rsidR="004C554B" w:rsidRPr="00103191" w:rsidRDefault="004F1F74" w:rsidP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7708" w14:textId="77777777" w:rsidR="004C554B" w:rsidRPr="00103191" w:rsidRDefault="004C554B" w:rsidP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придбання сировини, матеріалів та інвентарю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EAD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6BB4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16D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10CC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812" w14:textId="1D5DCCD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57DC1F69" w14:textId="77777777" w:rsidTr="004F1F74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F6EEFC" w14:textId="1A76F40F" w:rsidR="004C554B" w:rsidRPr="00103191" w:rsidRDefault="004F1F74" w:rsidP="004C554B">
            <w:pPr>
              <w:ind w:left="-3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2</w:t>
            </w:r>
            <w:r w:rsidR="004C554B" w:rsidRPr="00103191">
              <w:rPr>
                <w:sz w:val="22"/>
                <w:szCs w:val="22"/>
                <w:lang w:val="uk-UA"/>
              </w:rPr>
              <w:t>.1.9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3B0526" w14:textId="77777777" w:rsidR="004C554B" w:rsidRPr="00103191" w:rsidRDefault="004C554B" w:rsidP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інші витрати (розшифрувати)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16736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14561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24B47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B6269" w14:textId="77777777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F6E03" w14:textId="28F940E5" w:rsidR="004C554B" w:rsidRPr="00103191" w:rsidRDefault="004C554B" w:rsidP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3FF12847" w14:textId="77777777" w:rsidTr="004F1F74">
        <w:trPr>
          <w:trHeight w:val="6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ADF36F" w14:textId="4F109CE1" w:rsidR="004C554B" w:rsidRPr="00103191" w:rsidRDefault="004F1F74" w:rsidP="004C554B">
            <w:pPr>
              <w:ind w:left="-30"/>
              <w:contextualSpacing/>
              <w:jc w:val="center"/>
              <w:rPr>
                <w:sz w:val="21"/>
                <w:szCs w:val="21"/>
                <w:lang w:val="uk-UA"/>
              </w:rPr>
            </w:pPr>
            <w:r w:rsidRPr="00103191">
              <w:rPr>
                <w:sz w:val="21"/>
                <w:szCs w:val="21"/>
                <w:lang w:val="uk-UA"/>
              </w:rPr>
              <w:t>2</w:t>
            </w:r>
            <w:r w:rsidR="004C554B" w:rsidRPr="00103191">
              <w:rPr>
                <w:sz w:val="21"/>
                <w:szCs w:val="21"/>
                <w:lang w:val="uk-UA"/>
              </w:rPr>
              <w:t>.1.10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0BF91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витрати, які не підлягають відшкодуванню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1FA23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5F019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F2216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6ECCF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8D1B0" w14:textId="6A3B5273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3455A10E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EF61" w14:textId="7D34F9B2" w:rsidR="004C554B" w:rsidRPr="00103191" w:rsidRDefault="004F1F74">
            <w:pPr>
              <w:ind w:left="-12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2FF0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Доходи – всього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98C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B8C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A3F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2AF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05C" w14:textId="50476B4F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1AF49442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270" w14:textId="77777777" w:rsidR="004C554B" w:rsidRPr="00103191" w:rsidRDefault="004C554B">
            <w:pPr>
              <w:ind w:left="-120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400D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із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2A4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EBB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783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4DD8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BC4" w14:textId="34C438D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3A710463" w14:textId="77777777" w:rsidTr="004F1F7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6A97" w14:textId="3D40FCDB" w:rsidR="004C554B" w:rsidRPr="00103191" w:rsidRDefault="004F1F74">
            <w:pPr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3</w:t>
            </w:r>
            <w:r w:rsidR="004C554B" w:rsidRPr="00103191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E8B0" w14:textId="422D2CD6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В</w:t>
            </w:r>
            <w:r w:rsidR="00A02543" w:rsidRPr="00103191">
              <w:rPr>
                <w:sz w:val="22"/>
                <w:szCs w:val="22"/>
                <w:lang w:val="uk-UA"/>
              </w:rPr>
              <w:t>и</w:t>
            </w:r>
            <w:r w:rsidRPr="00103191">
              <w:rPr>
                <w:sz w:val="22"/>
                <w:szCs w:val="22"/>
                <w:lang w:val="uk-UA"/>
              </w:rPr>
              <w:t>д діяльності, пов’язаної з наданням ПЗЕІ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8CDE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DE6" w14:textId="77777777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D4C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8E3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74CF" w14:textId="3A484B15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66FED6DF" w14:textId="77777777" w:rsidTr="004F1F7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25FB" w14:textId="5727413C" w:rsidR="004C554B" w:rsidRPr="00103191" w:rsidRDefault="004F1F74">
            <w:pPr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3</w:t>
            </w:r>
            <w:r w:rsidR="004C554B" w:rsidRPr="00103191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C3C1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Інші доходи (розшифрувати)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E71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F482" w14:textId="77777777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6D7B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FE6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D1A8" w14:textId="6879E14A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C554B" w:rsidRPr="00103191" w14:paraId="375A9B9E" w14:textId="77777777" w:rsidTr="004F1F7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15BB" w14:textId="0DB171A4" w:rsidR="004C554B" w:rsidRPr="00103191" w:rsidRDefault="004F1F74">
            <w:pPr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9648" w14:textId="77777777" w:rsidR="004C554B" w:rsidRPr="00103191" w:rsidRDefault="004C554B">
            <w:pPr>
              <w:ind w:right="203"/>
              <w:contextualSpacing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Збитки за винятком витрат, які не підлягають відшкодуванню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87D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8CF5" w14:textId="77777777" w:rsidR="004C554B" w:rsidRPr="00103191" w:rsidRDefault="004C554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9BE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F41" w14:textId="77777777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9A9" w14:textId="629CD721" w:rsidR="004C554B" w:rsidRPr="00103191" w:rsidRDefault="004C554B">
            <w:pPr>
              <w:ind w:right="203"/>
              <w:contextualSpacing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1F187A" w:rsidRPr="00103191" w14:paraId="3A2AA365" w14:textId="77777777" w:rsidTr="004F1F74">
        <w:trPr>
          <w:trHeight w:val="9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0C5AE" w14:textId="66772D08" w:rsidR="001F187A" w:rsidRPr="00103191" w:rsidRDefault="004F1F74" w:rsidP="001F187A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C7069" w14:textId="36ABA251" w:rsidR="001F187A" w:rsidRPr="00103191" w:rsidRDefault="001F187A" w:rsidP="004F1F74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Компенсація обґрунтованих витрат  за надання ПЗЕІ, яка підлягає відшкодуванню з місцевого бюджету  (</w:t>
            </w:r>
            <w:r w:rsidR="004F1F74" w:rsidRPr="00103191">
              <w:rPr>
                <w:sz w:val="22"/>
                <w:szCs w:val="22"/>
                <w:lang w:val="uk-UA"/>
              </w:rPr>
              <w:t>5</w:t>
            </w:r>
            <w:r w:rsidRPr="00103191">
              <w:rPr>
                <w:sz w:val="22"/>
                <w:szCs w:val="22"/>
                <w:lang w:val="uk-UA"/>
              </w:rPr>
              <w:t>=</w:t>
            </w:r>
            <w:r w:rsidR="004F1F74" w:rsidRPr="00103191">
              <w:rPr>
                <w:sz w:val="22"/>
                <w:szCs w:val="22"/>
                <w:lang w:val="uk-UA"/>
              </w:rPr>
              <w:t>3</w:t>
            </w:r>
            <w:r w:rsidRPr="00103191">
              <w:rPr>
                <w:sz w:val="22"/>
                <w:szCs w:val="22"/>
                <w:lang w:val="uk-UA"/>
              </w:rPr>
              <w:t>-</w:t>
            </w:r>
            <w:r w:rsidR="004F1F74" w:rsidRPr="00103191">
              <w:rPr>
                <w:sz w:val="22"/>
                <w:szCs w:val="22"/>
                <w:lang w:val="uk-UA"/>
              </w:rPr>
              <w:t>2</w:t>
            </w:r>
            <w:r w:rsidRPr="0010319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161EF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6746D5FA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38BD4F4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EA1E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B3B7916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46755527" w14:textId="23A101F5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45B70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4C7F7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48383EE6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092825B0" w14:textId="63669090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0A212" w14:textId="394E3A8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16664B68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6D679777" w14:textId="77777777" w:rsidR="001F187A" w:rsidRPr="00103191" w:rsidRDefault="001F187A" w:rsidP="001F187A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</w:tr>
      <w:tr w:rsidR="003153CB" w:rsidRPr="00103191" w14:paraId="474F1B31" w14:textId="77777777" w:rsidTr="004F1F74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3A94" w14:textId="5ADA4C00" w:rsidR="003153CB" w:rsidRPr="00103191" w:rsidRDefault="003153CB" w:rsidP="003153CB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EDEB" w14:textId="77777777" w:rsidR="003153CB" w:rsidRPr="00103191" w:rsidRDefault="003153CB" w:rsidP="003153CB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Компенсація обґрунтованих витрат за надання ПЗЕІ, яка була відшкодована з місцевого бюджету в попередні періоди поточного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2745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5FC57036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2BE4C61" w14:textId="346EA1E8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9F0F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4F38DFA9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7984F050" w14:textId="53E92EBC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4F93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DC1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194B1668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33475012" w14:textId="70A75FD5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F17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688787D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7C042D69" w14:textId="5C8312DF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</w:tr>
      <w:tr w:rsidR="003153CB" w:rsidRPr="00103191" w14:paraId="61697A6A" w14:textId="77777777" w:rsidTr="004F1F74">
        <w:trPr>
          <w:trHeight w:val="7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FEFE" w14:textId="0C94F381" w:rsidR="003153CB" w:rsidRPr="00103191" w:rsidRDefault="003153CB" w:rsidP="003153CB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2818" w14:textId="77777777" w:rsidR="003153CB" w:rsidRPr="00103191" w:rsidRDefault="003153CB" w:rsidP="003153CB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Компенсація заборгованості з різниці в тарифах на виробництво, транспортування та постачання теплової енергії, на теплову енергію, послуги з постачання теплової енергії з державного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02C3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3187D5F9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017E01F0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61127179" w14:textId="432870D9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C93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501F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54D" w14:textId="11FB9AEC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A30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0F1E3D21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463C40D7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3748080C" w14:textId="161BDEBA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</w:tr>
      <w:tr w:rsidR="003153CB" w:rsidRPr="00103191" w14:paraId="00B70EEC" w14:textId="77777777" w:rsidTr="004F1F74">
        <w:trPr>
          <w:trHeight w:val="7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E58" w14:textId="5A46E54C" w:rsidR="003153CB" w:rsidRPr="00103191" w:rsidRDefault="003153CB" w:rsidP="003153CB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A6C9" w14:textId="77777777" w:rsidR="003153CB" w:rsidRPr="00103191" w:rsidRDefault="003153CB" w:rsidP="003153CB">
            <w:pPr>
              <w:rPr>
                <w:b/>
                <w:bCs/>
                <w:spacing w:val="-2"/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Інше фінансування з місцевого бюджету КП ТМ </w:t>
            </w:r>
            <w:r w:rsidRPr="00103191">
              <w:rPr>
                <w:spacing w:val="-2"/>
                <w:sz w:val="22"/>
                <w:szCs w:val="22"/>
                <w:lang w:val="uk-UA"/>
              </w:rPr>
              <w:t>"</w:t>
            </w:r>
            <w:r w:rsidRPr="00103191">
              <w:rPr>
                <w:sz w:val="22"/>
                <w:szCs w:val="22"/>
                <w:lang w:val="uk-UA"/>
              </w:rPr>
              <w:t>ЮТКЕ</w:t>
            </w:r>
            <w:r w:rsidRPr="00103191">
              <w:rPr>
                <w:spacing w:val="-2"/>
                <w:sz w:val="22"/>
                <w:szCs w:val="22"/>
                <w:lang w:val="uk-UA"/>
              </w:rPr>
              <w:t>"</w:t>
            </w:r>
            <w:r w:rsidRPr="00103191"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 </w:t>
            </w:r>
          </w:p>
          <w:p w14:paraId="65AB2510" w14:textId="77777777" w:rsidR="003153CB" w:rsidRPr="00103191" w:rsidRDefault="003153CB" w:rsidP="003153CB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pacing w:val="-2"/>
                <w:sz w:val="22"/>
                <w:szCs w:val="22"/>
                <w:lang w:val="uk-UA"/>
              </w:rPr>
              <w:t>(крім поповнення статутного фонду)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4BC8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C46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B7B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71D8" w14:textId="10BBAD4B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D1EB" w14:textId="1D4DBDBB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153CB" w:rsidRPr="00103191" w14:paraId="373F00CD" w14:textId="77777777" w:rsidTr="004F1F74">
        <w:trPr>
          <w:trHeight w:val="7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329A" w14:textId="2055FC36" w:rsidR="003153CB" w:rsidRPr="00103191" w:rsidRDefault="003153CB" w:rsidP="003153CB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9</w:t>
            </w:r>
          </w:p>
          <w:p w14:paraId="46D600A2" w14:textId="77777777" w:rsidR="003153CB" w:rsidRPr="00103191" w:rsidRDefault="003153CB" w:rsidP="003153CB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1AE31F28" w14:textId="77777777" w:rsidR="003153CB" w:rsidRPr="00103191" w:rsidRDefault="003153CB" w:rsidP="003153CB">
            <w:pPr>
              <w:ind w:right="35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0AAA" w14:textId="2A403B70" w:rsidR="003153CB" w:rsidRPr="00103191" w:rsidRDefault="003153CB" w:rsidP="003153CB">
            <w:pPr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 xml:space="preserve">Компенсація обґрунтованих витрат за надання ПЗЕІ, яка підлягає відшкодуванню з місцевого бюджету/поверненню до місцевого бюджету  (9=5-6-7-8)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DA06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3F90EFD9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364E1F3D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6E1144F8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D29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C795" w14:textId="230B3886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362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07353F16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9B86A7C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6DDD8BCA" w14:textId="22D9CF65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1FF3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353460FB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0C1D7FB" w14:textId="77777777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14:paraId="278FC7D2" w14:textId="35793D66" w:rsidR="003153CB" w:rsidRPr="00103191" w:rsidRDefault="003153CB" w:rsidP="003153CB">
            <w:pPr>
              <w:ind w:right="203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03191">
              <w:rPr>
                <w:sz w:val="22"/>
                <w:szCs w:val="22"/>
                <w:lang w:val="uk-UA"/>
              </w:rPr>
              <w:t>Х</w:t>
            </w:r>
          </w:p>
        </w:tc>
      </w:tr>
    </w:tbl>
    <w:p w14:paraId="550CF8DD" w14:textId="77777777" w:rsidR="003D4A3E" w:rsidRPr="00103191" w:rsidRDefault="003D4A3E" w:rsidP="003D4A3E">
      <w:pPr>
        <w:ind w:right="-1"/>
        <w:contextualSpacing/>
        <w:jc w:val="both"/>
        <w:rPr>
          <w:lang w:val="uk-UA"/>
        </w:rPr>
      </w:pPr>
    </w:p>
    <w:p w14:paraId="6DB413CB" w14:textId="77777777" w:rsidR="003D4A3E" w:rsidRPr="003D4A3E" w:rsidRDefault="003D4A3E" w:rsidP="003D4A3E">
      <w:pPr>
        <w:ind w:left="144" w:right="1591" w:firstLine="4"/>
        <w:contextualSpacing/>
        <w:rPr>
          <w:lang w:val="uk-UA"/>
        </w:rPr>
      </w:pPr>
      <w:r w:rsidRPr="00103191">
        <w:rPr>
          <w:lang w:val="uk-UA"/>
        </w:rPr>
        <w:t>Керівник _</w:t>
      </w:r>
      <w:r w:rsidRPr="003D4A3E">
        <w:rPr>
          <w:lang w:val="uk-UA"/>
        </w:rPr>
        <w:t xml:space="preserve">__________________ ______________  </w:t>
      </w:r>
    </w:p>
    <w:p w14:paraId="306846F6" w14:textId="77777777" w:rsidR="003D4A3E" w:rsidRPr="003D4A3E" w:rsidRDefault="003D4A3E" w:rsidP="003D4A3E">
      <w:pPr>
        <w:rPr>
          <w:lang w:val="uk-UA"/>
        </w:rPr>
      </w:pPr>
      <w:r w:rsidRPr="003D4A3E">
        <w:rPr>
          <w:lang w:val="uk-UA"/>
        </w:rPr>
        <w:t xml:space="preserve">                               (підпис)                      (прізвище) </w:t>
      </w:r>
    </w:p>
    <w:p w14:paraId="2B771AB8" w14:textId="77777777" w:rsidR="003D4A3E" w:rsidRPr="003D4A3E" w:rsidRDefault="003D4A3E" w:rsidP="003D4A3E">
      <w:pPr>
        <w:ind w:left="144" w:right="1591" w:firstLine="4"/>
        <w:contextualSpacing/>
        <w:rPr>
          <w:lang w:val="uk-UA"/>
        </w:rPr>
      </w:pPr>
      <w:r w:rsidRPr="003D4A3E">
        <w:rPr>
          <w:lang w:val="uk-UA"/>
        </w:rPr>
        <w:t xml:space="preserve">Головний бухгалтер ___________________ _______________  </w:t>
      </w:r>
    </w:p>
    <w:p w14:paraId="1348C609" w14:textId="77777777" w:rsidR="003D4A3E" w:rsidRPr="003D4A3E" w:rsidRDefault="003D4A3E" w:rsidP="003D4A3E">
      <w:pPr>
        <w:rPr>
          <w:lang w:val="uk-UA"/>
        </w:rPr>
      </w:pPr>
      <w:r w:rsidRPr="003D4A3E">
        <w:rPr>
          <w:lang w:val="uk-UA"/>
        </w:rPr>
        <w:t xml:space="preserve">                                               (підпис)                      (прізвище) </w:t>
      </w:r>
    </w:p>
    <w:p w14:paraId="69E1FBCB" w14:textId="77777777" w:rsidR="003D4A3E" w:rsidRPr="003D4A3E" w:rsidRDefault="003D4A3E" w:rsidP="003D4A3E">
      <w:pPr>
        <w:jc w:val="right"/>
        <w:rPr>
          <w:lang w:val="uk-UA"/>
        </w:rPr>
      </w:pPr>
    </w:p>
    <w:p w14:paraId="1D858140" w14:textId="77777777" w:rsidR="003D4A3E" w:rsidRPr="003D4A3E" w:rsidRDefault="003D4A3E" w:rsidP="003D4A3E">
      <w:pPr>
        <w:jc w:val="right"/>
        <w:rPr>
          <w:lang w:val="uk-UA"/>
        </w:rPr>
      </w:pPr>
    </w:p>
    <w:p w14:paraId="35B5E91D" w14:textId="77777777" w:rsidR="003D4A3E" w:rsidRPr="003D4A3E" w:rsidRDefault="003D4A3E" w:rsidP="003D4A3E">
      <w:pPr>
        <w:rPr>
          <w:lang w:val="uk-UA"/>
        </w:rPr>
      </w:pPr>
    </w:p>
    <w:p w14:paraId="1EBCD7C0" w14:textId="77777777" w:rsidR="003D4A3E" w:rsidRPr="003D4A3E" w:rsidRDefault="003D4A3E" w:rsidP="003D4A3E">
      <w:pPr>
        <w:rPr>
          <w:lang w:val="uk-UA"/>
        </w:rPr>
      </w:pPr>
    </w:p>
    <w:p w14:paraId="1C5C54A0" w14:textId="62DE7CEC" w:rsidR="001165FF" w:rsidRDefault="007400C7">
      <w:pPr>
        <w:rPr>
          <w:lang w:val="uk-UA"/>
        </w:rPr>
      </w:pPr>
      <w:r>
        <w:rPr>
          <w:lang w:val="uk-UA"/>
        </w:rPr>
        <w:t>Виконавці :                      Ірина Іванова</w:t>
      </w:r>
    </w:p>
    <w:p w14:paraId="70F9B95B" w14:textId="77777777" w:rsidR="007400C7" w:rsidRDefault="007400C7">
      <w:pPr>
        <w:rPr>
          <w:lang w:val="uk-UA"/>
        </w:rPr>
      </w:pPr>
    </w:p>
    <w:p w14:paraId="7FBD1E2C" w14:textId="42ACE115" w:rsidR="007400C7" w:rsidRPr="003D4A3E" w:rsidRDefault="007400C7">
      <w:pPr>
        <w:rPr>
          <w:lang w:val="uk-UA"/>
        </w:rPr>
      </w:pPr>
      <w:r>
        <w:rPr>
          <w:lang w:val="uk-UA"/>
        </w:rPr>
        <w:t xml:space="preserve">                                          Віра ОСАДЧУК</w:t>
      </w:r>
    </w:p>
    <w:sectPr w:rsidR="007400C7" w:rsidRPr="003D4A3E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7B61"/>
    <w:multiLevelType w:val="hybridMultilevel"/>
    <w:tmpl w:val="F9001224"/>
    <w:lvl w:ilvl="0" w:tplc="ADF401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287D69"/>
    <w:multiLevelType w:val="hybridMultilevel"/>
    <w:tmpl w:val="CDE2F3C2"/>
    <w:lvl w:ilvl="0" w:tplc="9E107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7388318">
    <w:abstractNumId w:val="0"/>
  </w:num>
  <w:num w:numId="2" w16cid:durableId="194537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EB"/>
    <w:rsid w:val="000642DA"/>
    <w:rsid w:val="000B210D"/>
    <w:rsid w:val="000E0677"/>
    <w:rsid w:val="000E4F6C"/>
    <w:rsid w:val="000F3641"/>
    <w:rsid w:val="000F40E6"/>
    <w:rsid w:val="00103191"/>
    <w:rsid w:val="001165FF"/>
    <w:rsid w:val="00185496"/>
    <w:rsid w:val="001F187A"/>
    <w:rsid w:val="002602EB"/>
    <w:rsid w:val="002C52DE"/>
    <w:rsid w:val="003153CB"/>
    <w:rsid w:val="003D4A3E"/>
    <w:rsid w:val="004C554B"/>
    <w:rsid w:val="004F1F74"/>
    <w:rsid w:val="00521B93"/>
    <w:rsid w:val="00604E0C"/>
    <w:rsid w:val="00696DE6"/>
    <w:rsid w:val="006A48F5"/>
    <w:rsid w:val="006E625A"/>
    <w:rsid w:val="007400C7"/>
    <w:rsid w:val="007D23D7"/>
    <w:rsid w:val="008169E4"/>
    <w:rsid w:val="008748A2"/>
    <w:rsid w:val="009321BD"/>
    <w:rsid w:val="00995F46"/>
    <w:rsid w:val="009C4E45"/>
    <w:rsid w:val="00A02543"/>
    <w:rsid w:val="00A22C3B"/>
    <w:rsid w:val="00A63DCC"/>
    <w:rsid w:val="00A67F9F"/>
    <w:rsid w:val="00C31811"/>
    <w:rsid w:val="00C77EEA"/>
    <w:rsid w:val="00D059DA"/>
    <w:rsid w:val="00D50BAB"/>
    <w:rsid w:val="00D96153"/>
    <w:rsid w:val="00E9789A"/>
    <w:rsid w:val="00ED07E8"/>
    <w:rsid w:val="00ED3706"/>
    <w:rsid w:val="00ED4BA6"/>
    <w:rsid w:val="00F13A82"/>
    <w:rsid w:val="00F22B2A"/>
    <w:rsid w:val="00F2460C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519E"/>
  <w15:chartTrackingRefBased/>
  <w15:docId w15:val="{A6D120D6-4831-4ED3-AAB6-8FB0B11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4A3E"/>
    <w:rPr>
      <w:b/>
      <w:bCs/>
    </w:rPr>
  </w:style>
  <w:style w:type="paragraph" w:styleId="a4">
    <w:name w:val="Normal (Web)"/>
    <w:basedOn w:val="a"/>
    <w:semiHidden/>
    <w:unhideWhenUsed/>
    <w:rsid w:val="003D4A3E"/>
    <w:pPr>
      <w:spacing w:before="100" w:beforeAutospacing="1" w:after="119"/>
    </w:pPr>
  </w:style>
  <w:style w:type="paragraph" w:styleId="a5">
    <w:name w:val="Body Text"/>
    <w:basedOn w:val="a"/>
    <w:link w:val="a6"/>
    <w:semiHidden/>
    <w:unhideWhenUsed/>
    <w:rsid w:val="003D4A3E"/>
    <w:pPr>
      <w:spacing w:after="120"/>
    </w:pPr>
  </w:style>
  <w:style w:type="character" w:customStyle="1" w:styleId="a6">
    <w:name w:val="Основний текст Знак"/>
    <w:basedOn w:val="a0"/>
    <w:link w:val="a5"/>
    <w:semiHidden/>
    <w:rsid w:val="003D4A3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No Spacing"/>
    <w:uiPriority w:val="1"/>
    <w:qFormat/>
    <w:rsid w:val="003D4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styleId="a8">
    <w:name w:val="Emphasis"/>
    <w:basedOn w:val="a0"/>
    <w:uiPriority w:val="20"/>
    <w:qFormat/>
    <w:rsid w:val="003D4A3E"/>
    <w:rPr>
      <w:i/>
      <w:iCs/>
    </w:rPr>
  </w:style>
  <w:style w:type="paragraph" w:styleId="a9">
    <w:name w:val="Balloon Text"/>
    <w:basedOn w:val="a"/>
    <w:link w:val="aa"/>
    <w:semiHidden/>
    <w:rsid w:val="006A48F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rsid w:val="006A48F5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rvts23">
    <w:name w:val="rvts23"/>
    <w:rsid w:val="006A48F5"/>
  </w:style>
  <w:style w:type="character" w:customStyle="1" w:styleId="rvts44">
    <w:name w:val="rvts44"/>
    <w:rsid w:val="006A48F5"/>
  </w:style>
  <w:style w:type="character" w:customStyle="1" w:styleId="rvts0">
    <w:name w:val="rvts0"/>
    <w:rsid w:val="006A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9001</Words>
  <Characters>5131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9</cp:revision>
  <cp:lastPrinted>2024-09-27T06:51:00Z</cp:lastPrinted>
  <dcterms:created xsi:type="dcterms:W3CDTF">2024-09-27T05:34:00Z</dcterms:created>
  <dcterms:modified xsi:type="dcterms:W3CDTF">2024-10-04T08:11:00Z</dcterms:modified>
</cp:coreProperties>
</file>