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rsidR="009F2477" w:rsidRPr="009F2477" w:rsidRDefault="009F2477" w:rsidP="009F2477">
      <w:pPr>
        <w:spacing w:after="0" w:line="240" w:lineRule="auto"/>
        <w:ind w:left="5664" w:firstLine="708"/>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Додаток</w:t>
      </w:r>
    </w:p>
    <w:p w:rsidR="009F2477" w:rsidRPr="009F2477" w:rsidRDefault="009F2477" w:rsidP="009F2477">
      <w:pPr>
        <w:spacing w:after="0" w:line="240" w:lineRule="auto"/>
        <w:ind w:left="4248"/>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до проєкту рішення</w:t>
      </w:r>
      <w:r w:rsidRPr="009F2477">
        <w:rPr>
          <w:rFonts w:ascii="Times New Roman" w:eastAsia="Times New Roman" w:hAnsi="Times New Roman" w:cs="Times New Roman"/>
          <w:sz w:val="24"/>
          <w:szCs w:val="24"/>
          <w:lang w:eastAsia="uk-UA"/>
        </w:rPr>
        <w:t xml:space="preserve"> </w:t>
      </w:r>
      <w:r w:rsidRPr="009F2477">
        <w:rPr>
          <w:rFonts w:ascii="Times New Roman" w:eastAsia="Times New Roman" w:hAnsi="Times New Roman" w:cs="Times New Roman"/>
          <w:sz w:val="24"/>
          <w:szCs w:val="24"/>
          <w:lang w:val="uk-UA" w:eastAsia="uk-UA"/>
        </w:rPr>
        <w:t>Южненської міської ради</w:t>
      </w:r>
    </w:p>
    <w:p w:rsidR="009F2477" w:rsidRPr="009F2477" w:rsidRDefault="009F2477" w:rsidP="009F2477">
      <w:pPr>
        <w:spacing w:after="0" w:line="240" w:lineRule="auto"/>
        <w:ind w:left="4248" w:firstLine="708"/>
        <w:rPr>
          <w:rFonts w:ascii="Times New Roman" w:eastAsia="Times New Roman" w:hAnsi="Times New Roman" w:cs="Times New Roman"/>
          <w:sz w:val="24"/>
          <w:szCs w:val="24"/>
          <w:lang w:eastAsia="uk-UA"/>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val="uk-UA" w:eastAsia="ru-RU"/>
        </w:rPr>
        <w:t xml:space="preserve"> </w:t>
      </w:r>
      <w:r w:rsidRPr="009F2477">
        <w:rPr>
          <w:rFonts w:ascii="Times New Roman" w:eastAsia="Times New Roman" w:hAnsi="Times New Roman" w:cs="Times New Roman"/>
          <w:b/>
          <w:sz w:val="32"/>
          <w:szCs w:val="32"/>
          <w:lang w:eastAsia="ru-RU"/>
        </w:rPr>
        <w:t>П Р О Г Р А М А</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rsidR="009F2477" w:rsidRPr="009F2477" w:rsidRDefault="009F2477" w:rsidP="009F2477">
      <w:pPr>
        <w:spacing w:after="0" w:line="240" w:lineRule="auto"/>
        <w:rPr>
          <w:rFonts w:ascii="Times New Roman" w:eastAsia="Times New Roman" w:hAnsi="Times New Roman" w:cs="Times New Roman"/>
          <w:sz w:val="24"/>
          <w:szCs w:val="24"/>
          <w:lang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t>З М І С Т</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Стор.</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rsidTr="00224AA4">
        <w:tc>
          <w:tcPr>
            <w:tcW w:w="648"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w:t>
      </w:r>
    </w:p>
    <w:p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t>1. ПАСПОРТ</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9F2477" w:rsidTr="00224AA4">
        <w:tblPrEx>
          <w:tblCellMar>
            <w:top w:w="0" w:type="dxa"/>
            <w:bottom w:w="0" w:type="dxa"/>
          </w:tblCellMar>
        </w:tblPrEx>
        <w:tc>
          <w:tcPr>
            <w:tcW w:w="432" w:type="dxa"/>
            <w:tcBorders>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9F2477" w:rsidTr="00224AA4">
        <w:tblPrEx>
          <w:tblCellMar>
            <w:top w:w="0" w:type="dxa"/>
            <w:bottom w:w="0" w:type="dxa"/>
          </w:tblCellMar>
        </w:tblPrEx>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9F2477" w:rsidTr="00224AA4">
        <w:tblPrEx>
          <w:tblCellMar>
            <w:top w:w="0" w:type="dxa"/>
            <w:bottom w:w="0" w:type="dxa"/>
          </w:tblCellMar>
        </w:tblPrEx>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9F2477" w:rsidTr="00224AA4">
        <w:tblPrEx>
          <w:tblCellMar>
            <w:top w:w="0" w:type="dxa"/>
            <w:bottom w:w="0" w:type="dxa"/>
          </w:tblCellMar>
        </w:tblPrEx>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9F2477" w:rsidRPr="009F2477" w:rsidTr="00224AA4">
        <w:tblPrEx>
          <w:tblCellMar>
            <w:top w:w="0" w:type="dxa"/>
            <w:bottom w:w="0" w:type="dxa"/>
          </w:tblCellMar>
        </w:tblPrEx>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rsidTr="00224AA4">
        <w:tblPrEx>
          <w:tblCellMar>
            <w:top w:w="0" w:type="dxa"/>
            <w:bottom w:w="0" w:type="dxa"/>
          </w:tblCellMar>
        </w:tblPrEx>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rsidTr="00224AA4">
        <w:tblPrEx>
          <w:tblCellMar>
            <w:top w:w="0" w:type="dxa"/>
            <w:bottom w:w="0" w:type="dxa"/>
          </w:tblCellMar>
        </w:tblPrEx>
        <w:trPr>
          <w:trHeight w:val="635"/>
        </w:trPr>
        <w:tc>
          <w:tcPr>
            <w:tcW w:w="432" w:type="dxa"/>
            <w:tcBorders>
              <w:top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rsidTr="00224AA4">
        <w:tblPrEx>
          <w:tblCellMar>
            <w:top w:w="0" w:type="dxa"/>
            <w:bottom w:w="0" w:type="dxa"/>
          </w:tblCellMar>
        </w:tblPrEx>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охоплення всеобучем дітей шкільного віку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забезпечення шкіл навчально-комп’ютерними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0% від загальної кількості учнів;</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Виконання Програми дасть змогу: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9F2477">
              <w:rPr>
                <w:rFonts w:ascii="Times New Roman" w:eastAsia="Times New Roman" w:hAnsi="Times New Roman" w:cs="Times New Roman"/>
                <w:sz w:val="24"/>
                <w:szCs w:val="24"/>
                <w:lang w:val="uk-UA" w:eastAsia="ru-RU"/>
              </w:rPr>
              <w:t>нської міської територіальної громади</w:t>
            </w:r>
            <w:r w:rsidRPr="009F2477">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середовища;</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оптимізувати мережу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впровадити в практику роботи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9F2477">
              <w:rPr>
                <w:rFonts w:ascii="Times New Roman" w:eastAsia="Times New Roman" w:hAnsi="Times New Roman" w:cs="Times New Roman"/>
                <w:sz w:val="24"/>
                <w:szCs w:val="24"/>
                <w:lang w:val="uk-UA" w:eastAsia="ru-RU"/>
              </w:rPr>
              <w:t xml:space="preserve">творчих </w:t>
            </w:r>
            <w:r w:rsidRPr="009F2477">
              <w:rPr>
                <w:rFonts w:ascii="Times New Roman" w:eastAsia="Times New Roman" w:hAnsi="Times New Roman" w:cs="Times New Roman"/>
                <w:sz w:val="24"/>
                <w:szCs w:val="24"/>
                <w:lang w:eastAsia="ru-RU"/>
              </w:rPr>
              <w:t>педагогі</w:t>
            </w:r>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9F2477" w:rsidRPr="009F2477" w:rsidTr="00224AA4">
        <w:tblPrEx>
          <w:tblCellMar>
            <w:top w:w="0" w:type="dxa"/>
            <w:bottom w:w="0" w:type="dxa"/>
          </w:tblCellMar>
        </w:tblPrEx>
        <w:tc>
          <w:tcPr>
            <w:tcW w:w="432" w:type="dxa"/>
            <w:tcBorders>
              <w:top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9F2477">
        <w:rPr>
          <w:rFonts w:ascii="Times New Roman" w:eastAsia="Times New Roman" w:hAnsi="Times New Roman" w:cs="Times New Roman"/>
          <w:b/>
          <w:sz w:val="24"/>
          <w:szCs w:val="24"/>
          <w:lang w:val="uk-UA" w:eastAsia="ru-RU"/>
        </w:rPr>
        <w:t>2. ВСТУП</w:t>
      </w:r>
    </w:p>
    <w:p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Програми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Конституція України; закони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r w:rsidRPr="009F2477">
        <w:rPr>
          <w:rFonts w:ascii="Times New Roman" w:eastAsia="Calibri" w:hAnsi="Times New Roman" w:cs="Times New Roman"/>
          <w:sz w:val="24"/>
          <w:szCs w:val="24"/>
        </w:rPr>
        <w:t>загальну середню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позашкільну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Національну програму інформатизації</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Укази Президента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додаткові заходи щодо підвищення якості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заходи щодо забезпечення пріоритетного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9F2477">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w:t>
      </w:r>
      <w:r w:rsidRPr="009F2477">
        <w:rPr>
          <w:rFonts w:ascii="Times New Roman" w:eastAsia="Times New Roman" w:hAnsi="Times New Roman" w:cs="Times New Roman"/>
          <w:sz w:val="24"/>
          <w:szCs w:val="24"/>
          <w:shd w:val="clear" w:color="auto" w:fill="FFFFFF"/>
          <w:lang w:val="uk-UA" w:eastAsia="ru-RU"/>
        </w:rPr>
        <w:lastRenderedPageBreak/>
        <w:t>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це 844 працівників, з них 484 педагогів в тому числі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rPr>
        <w:t>Основні проблеми</w:t>
      </w:r>
      <w:r w:rsidRPr="009F2477">
        <w:rPr>
          <w:rFonts w:ascii="Times New Roman" w:eastAsia="Calibri" w:hAnsi="Times New Roman" w:cs="Times New Roman"/>
          <w:b/>
          <w:sz w:val="24"/>
          <w:szCs w:val="24"/>
          <w:lang w:val="uk-UA"/>
        </w:rPr>
        <w:t>:</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lastRenderedPageBreak/>
        <w:t>- перевантаження груп, недостатня кількість місць для дітей ранього дошкільного віку;</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відсутність найпростіших укриттів в закладах дашкільної освіти;</w:t>
      </w:r>
    </w:p>
    <w:p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r w:rsidRPr="009F2477">
        <w:rPr>
          <w:rFonts w:ascii="Times New Roman" w:eastAsia="Times New Roman" w:hAnsi="Times New Roman" w:cs="Times New Roman"/>
          <w:spacing w:val="4"/>
          <w:sz w:val="24"/>
          <w:szCs w:val="24"/>
          <w:lang w:val="uk-UA" w:eastAsia="uk-UA"/>
        </w:rPr>
        <w:t>ніт</w:t>
      </w:r>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виховання;</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всі комп'ютерні класи навчальних закладів</w:t>
      </w:r>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санітарні паспорти</w:t>
      </w:r>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Держпродспоживслужбою</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r w:rsidRPr="009F2477">
        <w:rPr>
          <w:rFonts w:ascii="Times New Roman" w:eastAsia="Times New Roman" w:hAnsi="Times New Roman" w:cs="Times New Roman"/>
          <w:sz w:val="24"/>
          <w:szCs w:val="24"/>
          <w:lang w:eastAsia="ru-RU"/>
        </w:rPr>
        <w:t xml:space="preserve">матеріально-технічне забезпечення </w:t>
      </w:r>
      <w:r w:rsidRPr="009F2477">
        <w:rPr>
          <w:rFonts w:ascii="Times New Roman" w:eastAsia="Times New Roman" w:hAnsi="Times New Roman" w:cs="Times New Roman"/>
          <w:sz w:val="24"/>
          <w:szCs w:val="24"/>
          <w:lang w:val="uk-UA" w:eastAsia="ru-RU"/>
        </w:rPr>
        <w:t xml:space="preserve">предметних </w:t>
      </w:r>
      <w:r w:rsidRPr="009F2477">
        <w:rPr>
          <w:rFonts w:ascii="Times New Roman" w:eastAsia="Times New Roman" w:hAnsi="Times New Roman" w:cs="Times New Roman"/>
          <w:sz w:val="24"/>
          <w:szCs w:val="24"/>
          <w:lang w:eastAsia="ru-RU"/>
        </w:rPr>
        <w:t>кабінетів</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під час проведення лабораторних робіт</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r w:rsidRPr="009F2477">
        <w:rPr>
          <w:rFonts w:ascii="Times New Roman" w:eastAsia="Times New Roman" w:hAnsi="Times New Roman" w:cs="Times New Roman"/>
          <w:sz w:val="24"/>
          <w:szCs w:val="24"/>
          <w:lang w:val="uk-UA" w:eastAsia="ru-RU"/>
        </w:rPr>
        <w:t>ться</w:t>
      </w:r>
      <w:r w:rsidRPr="009F2477">
        <w:rPr>
          <w:rFonts w:ascii="Times New Roman" w:eastAsia="Times New Roman" w:hAnsi="Times New Roman" w:cs="Times New Roman"/>
          <w:sz w:val="24"/>
          <w:szCs w:val="24"/>
          <w:lang w:eastAsia="ru-RU"/>
        </w:rPr>
        <w:t xml:space="preserve"> облік дітей</w:t>
      </w:r>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9F2477">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r w:rsidRPr="009F2477">
        <w:rPr>
          <w:rFonts w:ascii="Times New Roman" w:eastAsia="Times New Roman" w:hAnsi="Times New Roman" w:cs="Times New Roman"/>
          <w:bCs/>
          <w:sz w:val="24"/>
          <w:szCs w:val="24"/>
          <w:lang w:eastAsia="ru-RU"/>
        </w:rPr>
        <w:t>приміщен</w:t>
      </w:r>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9F2477">
        <w:rPr>
          <w:rFonts w:ascii="Times New Roman" w:eastAsia="Times New Roman" w:hAnsi="Times New Roman" w:cs="Times New Roman"/>
          <w:bCs/>
          <w:sz w:val="24"/>
          <w:szCs w:val="24"/>
          <w:lang w:val="uk-UA" w:eastAsia="ru-RU"/>
        </w:rPr>
        <w:t xml:space="preserve"> в школах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r w:rsidRPr="009F2477">
        <w:rPr>
          <w:rFonts w:ascii="Times New Roman" w:eastAsia="Times New Roman" w:hAnsi="Times New Roman" w:cs="Times New Roman"/>
          <w:bCs/>
          <w:sz w:val="24"/>
          <w:szCs w:val="24"/>
          <w:lang w:eastAsia="ru-RU"/>
        </w:rPr>
        <w:t>едостатнє оснащення шкільних бібліотек комп”ютерною</w:t>
      </w:r>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технікою</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 підрозділ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зазначених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вихованц</w:t>
      </w:r>
      <w:r w:rsidRPr="009F2477">
        <w:rPr>
          <w:rFonts w:ascii="Times New Roman" w:eastAsia="Times New Roman" w:hAnsi="Times New Roman" w:cs="Times New Roman"/>
          <w:sz w:val="24"/>
          <w:szCs w:val="24"/>
          <w:lang w:val="uk-UA" w:eastAsia="ru-RU"/>
        </w:rPr>
        <w:t>я (23 % від загальної кількості учнів міста )</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Бюджетне</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фінансове забезпечення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r w:rsidRPr="009F2477">
        <w:rPr>
          <w:rFonts w:ascii="Times New Roman" w:eastAsia="Times New Roman" w:hAnsi="Times New Roman" w:cs="Times New Roman"/>
          <w:sz w:val="24"/>
          <w:szCs w:val="24"/>
          <w:lang w:val="uk-UA" w:eastAsia="ru-RU"/>
        </w:rPr>
        <w:t>ів</w:t>
      </w:r>
      <w:r w:rsidRPr="009F2477">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9F2477">
        <w:rPr>
          <w:rFonts w:ascii="Times New Roman" w:eastAsia="Times New Roman" w:hAnsi="Times New Roman" w:cs="Times New Roman"/>
          <w:sz w:val="24"/>
          <w:szCs w:val="24"/>
          <w:lang w:val="uk-UA" w:eastAsia="ru-RU"/>
        </w:rPr>
        <w:t xml:space="preserve">їх </w:t>
      </w:r>
      <w:r w:rsidRPr="009F2477">
        <w:rPr>
          <w:rFonts w:ascii="Times New Roman" w:eastAsia="Times New Roman" w:hAnsi="Times New Roman" w:cs="Times New Roman"/>
          <w:sz w:val="24"/>
          <w:szCs w:val="24"/>
          <w:lang w:eastAsia="ru-RU"/>
        </w:rPr>
        <w:t>розвитку.</w:t>
      </w:r>
    </w:p>
    <w:p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r w:rsidRPr="009F2477">
        <w:rPr>
          <w:rFonts w:ascii="Times New Roman CYR" w:eastAsia="Times New Roman" w:hAnsi="Times New Roman CYR" w:cs="Times New Roman CYR"/>
          <w:bCs/>
          <w:sz w:val="24"/>
          <w:szCs w:val="24"/>
          <w:lang w:eastAsia="ru-RU"/>
        </w:rPr>
        <w:t xml:space="preserve">має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приміщення</w:t>
      </w:r>
      <w:r w:rsidRPr="009F2477">
        <w:rPr>
          <w:rFonts w:ascii="Times New Roman CYR" w:eastAsia="Times New Roman" w:hAnsi="Times New Roman CYR" w:cs="Times New Roman CYR"/>
          <w:bCs/>
          <w:sz w:val="24"/>
          <w:szCs w:val="24"/>
          <w:lang w:val="uk-UA" w:eastAsia="ru-RU"/>
        </w:rPr>
        <w:t xml:space="preserve"> полощєю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9F2477">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Гуртки</w:t>
      </w:r>
      <w:r w:rsidRPr="009F2477">
        <w:rPr>
          <w:rFonts w:ascii="Times New Roman" w:eastAsia="Times New Roman" w:hAnsi="Times New Roman" w:cs="Times New Roman"/>
          <w:sz w:val="24"/>
          <w:szCs w:val="24"/>
          <w:lang w:val="uk-UA" w:eastAsia="ru-RU"/>
        </w:rPr>
        <w:t xml:space="preserve"> закладу 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9F2477">
        <w:rPr>
          <w:rFonts w:ascii="Times New Roman" w:eastAsia="Times New Roman" w:hAnsi="Times New Roman" w:cs="Times New Roman"/>
          <w:sz w:val="24"/>
          <w:szCs w:val="24"/>
          <w:lang w:val="uk-UA" w:eastAsia="ru-RU"/>
        </w:rPr>
        <w:t>, б</w:t>
      </w:r>
      <w:r w:rsidRPr="009F2477">
        <w:rPr>
          <w:rFonts w:ascii="Times New Roman" w:eastAsia="Times New Roman" w:hAnsi="Times New Roman" w:cs="Times New Roman"/>
          <w:sz w:val="24"/>
          <w:szCs w:val="24"/>
          <w:lang w:eastAsia="ru-RU"/>
        </w:rPr>
        <w:t xml:space="preserve">еруть участь у міських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Всього педагогічних працівників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r w:rsidRPr="009F2477">
        <w:rPr>
          <w:rFonts w:ascii="Times New Roman" w:eastAsia="Times New Roman" w:hAnsi="Times New Roman" w:cs="Times New Roman"/>
          <w:sz w:val="24"/>
          <w:szCs w:val="24"/>
          <w:lang w:eastAsia="ru-RU"/>
        </w:rPr>
        <w:t>комп’ютерн</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технік</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r w:rsidRPr="009F2477">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програми - </w:t>
      </w: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Виконання Програми здійснюється на місцевому рівн</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передбачається</w:t>
      </w:r>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r w:rsidRPr="009F2477">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9F2477">
        <w:rPr>
          <w:rFonts w:ascii="Times New Roman" w:eastAsia="Times New Roman" w:hAnsi="Times New Roman" w:cs="Times New Roman"/>
          <w:sz w:val="24"/>
          <w:szCs w:val="24"/>
          <w:lang w:val="uk-UA" w:eastAsia="ru-RU"/>
        </w:rPr>
        <w:t xml:space="preserve">закладів освіти </w:t>
      </w:r>
      <w:r w:rsidRPr="009F2477">
        <w:rPr>
          <w:rFonts w:ascii="Times New Roman" w:eastAsia="Times New Roman" w:hAnsi="Times New Roman" w:cs="Times New Roman"/>
          <w:sz w:val="24"/>
          <w:szCs w:val="24"/>
          <w:lang w:eastAsia="ru-RU"/>
        </w:rPr>
        <w:t xml:space="preserve">мультимедійними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9F2477">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9F2477">
        <w:rPr>
          <w:rFonts w:ascii="Times New Roman" w:eastAsia="Times New Roman" w:hAnsi="Times New Roman" w:cs="Times New Roman"/>
          <w:sz w:val="24"/>
          <w:szCs w:val="24"/>
          <w:lang w:eastAsia="ru-RU"/>
        </w:rPr>
        <w:t xml:space="preserve"> як центру корекційно-реабілітаційної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Впровадження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lastRenderedPageBreak/>
        <w:t>2.2. Удосконалення матеріально-технічної та навчальної бази закладів загально</w:t>
      </w:r>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Робота з обдарованою молоддю</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Соціальний захист учасників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Програма розрахована на період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ік</w:t>
      </w:r>
      <w:r w:rsidRPr="009F2477">
        <w:rPr>
          <w:rFonts w:ascii="Times New Roman" w:eastAsia="Times New Roman" w:hAnsi="Times New Roman" w:cs="Times New Roman"/>
          <w:sz w:val="24"/>
          <w:szCs w:val="24"/>
          <w:lang w:eastAsia="ru-RU"/>
        </w:rPr>
        <w:t xml:space="preserve"> включно.</w:t>
      </w: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rsidTr="00224AA4">
        <w:tc>
          <w:tcPr>
            <w:tcW w:w="1481"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тис.грн.</w:t>
            </w:r>
          </w:p>
        </w:tc>
        <w:tc>
          <w:tcPr>
            <w:tcW w:w="1197" w:type="pct"/>
            <w:vMerge w:val="restar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rsidTr="00224AA4">
        <w:tc>
          <w:tcPr>
            <w:tcW w:w="1481"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rsidTr="00224AA4">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rsidTr="00224AA4">
        <w:trPr>
          <w:trHeight w:val="323"/>
        </w:trPr>
        <w:tc>
          <w:tcPr>
            <w:tcW w:w="1481" w:type="pct"/>
          </w:tcPr>
          <w:p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оптимізувати мережу закладів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9F2477">
        <w:rPr>
          <w:rFonts w:ascii="Times New Roman" w:eastAsia="Times New Roman" w:hAnsi="Times New Roman" w:cs="Times New Roman"/>
          <w:sz w:val="24"/>
          <w:szCs w:val="24"/>
          <w:lang w:val="uk-UA" w:eastAsia="ru-RU"/>
        </w:rPr>
        <w:t>;</w:t>
      </w:r>
    </w:p>
    <w:p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rsidTr="00224AA4">
        <w:trPr>
          <w:trHeight w:val="550"/>
        </w:trPr>
        <w:tc>
          <w:tcPr>
            <w:tcW w:w="2268"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rsidTr="00224AA4">
        <w:trPr>
          <w:trHeight w:val="302"/>
        </w:trPr>
        <w:tc>
          <w:tcPr>
            <w:tcW w:w="9503" w:type="dxa"/>
            <w:gridSpan w:val="6"/>
            <w:shd w:val="clear" w:color="auto" w:fill="auto"/>
          </w:tcPr>
          <w:p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2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rsidTr="00224AA4">
        <w:trPr>
          <w:trHeight w:val="26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rsidTr="00224AA4">
        <w:trPr>
          <w:trHeight w:val="37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51"/>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rsidTr="00224AA4">
        <w:trPr>
          <w:trHeight w:val="23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30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eastAsia="ru-RU"/>
              </w:rPr>
              <w:t>Придбання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омплекс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rsidR="009F2477" w:rsidRPr="009F2477" w:rsidRDefault="009F2477" w:rsidP="009F2477">
            <w:pPr>
              <w:spacing w:after="0" w:line="240" w:lineRule="auto"/>
              <w:rPr>
                <w:rFonts w:ascii="Times New Roman" w:eastAsia="Times New Roman" w:hAnsi="Times New Roman" w:cs="Times New Roman"/>
                <w:b/>
                <w:lang w:eastAsia="ru-RU"/>
              </w:rPr>
            </w:pP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1150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rsidTr="00224AA4">
        <w:trPr>
          <w:trHeight w:val="982"/>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831"/>
        </w:trPr>
        <w:tc>
          <w:tcPr>
            <w:tcW w:w="2268" w:type="dxa"/>
            <w:vMerge/>
            <w:shd w:val="clear" w:color="auto" w:fill="auto"/>
          </w:tcPr>
          <w:p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Впровадження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r w:rsidRPr="009F2477">
              <w:rPr>
                <w:rFonts w:ascii="Times New Roman" w:eastAsia="Times New Roman" w:hAnsi="Times New Roman" w:cs="Times New Roman"/>
                <w:color w:val="000000"/>
                <w:lang w:eastAsia="ru-RU"/>
              </w:rPr>
              <w:t xml:space="preserve">ридбання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color w:val="000000"/>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з них:</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4 800,0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4 328,33</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3 360,0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39"/>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9503" w:type="dxa"/>
            <w:gridSpan w:val="6"/>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rsidTr="00224AA4">
        <w:trPr>
          <w:trHeight w:val="273"/>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rsidR="009F2477" w:rsidRPr="009F2477" w:rsidRDefault="009F2477" w:rsidP="009F2477">
            <w:pPr>
              <w:spacing w:after="0" w:line="240" w:lineRule="auto"/>
              <w:rPr>
                <w:rFonts w:ascii="Times New Roman" w:eastAsia="Times New Roman" w:hAnsi="Times New Roman" w:cs="Times New Roman"/>
                <w:b/>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828"/>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rsidTr="00224AA4">
        <w:trPr>
          <w:trHeight w:val="33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w:t>
            </w:r>
            <w:r w:rsidRPr="009F2477">
              <w:rPr>
                <w:rFonts w:ascii="Times New Roman" w:eastAsia="Times New Roman" w:hAnsi="Times New Roman" w:cs="Times New Roman"/>
                <w:lang w:val="uk-UA" w:eastAsia="ru-RU"/>
              </w:rPr>
              <w:lastRenderedPageBreak/>
              <w:t>Одеська область , м. Южне вул. Хіміків буд.10-А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2.2.4.</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1218"/>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Комунальному опорному закладі загальної середньої </w:t>
            </w:r>
            <w:r w:rsidRPr="009F2477">
              <w:rPr>
                <w:rFonts w:ascii="Times New Roman" w:eastAsia="Times New Roman" w:hAnsi="Times New Roman" w:cs="Times New Roman"/>
                <w:lang w:val="uk-UA" w:eastAsia="ru-RU"/>
              </w:rPr>
              <w:lastRenderedPageBreak/>
              <w:t>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365"/>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rsidTr="00224AA4">
        <w:trPr>
          <w:trHeight w:val="847"/>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1 Южненської міської </w:t>
            </w:r>
            <w:r w:rsidRPr="009F2477">
              <w:rPr>
                <w:rFonts w:ascii="Times New Roman" w:eastAsia="Times New Roman" w:hAnsi="Times New Roman" w:cs="Times New Roman"/>
                <w:lang w:val="uk-UA" w:eastAsia="ru-RU"/>
              </w:rPr>
              <w:lastRenderedPageBreak/>
              <w:t>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256"/>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213"/>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232"/>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496"/>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455"/>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rsidTr="00224AA4">
        <w:trPr>
          <w:trHeight w:val="545"/>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622"/>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lastRenderedPageBreak/>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563"/>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en-US" w:eastAsia="ru-RU"/>
              </w:rPr>
              <w:t xml:space="preserve">Приміщення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Ліцею  ім. В.Чорновола</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2 070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освіти</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rsidTr="00224AA4">
        <w:trPr>
          <w:trHeight w:val="184"/>
        </w:trPr>
        <w:tc>
          <w:tcPr>
            <w:tcW w:w="2268" w:type="dxa"/>
            <w:vMerge w:val="restart"/>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2.2.17.</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оснащання  навчального кабінету предмета «Захист України»</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rsidTr="00224AA4">
        <w:trPr>
          <w:trHeight w:val="184"/>
        </w:trPr>
        <w:tc>
          <w:tcPr>
            <w:tcW w:w="2268" w:type="dxa"/>
            <w:vMerge/>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rsidTr="00224AA4">
        <w:trPr>
          <w:trHeight w:val="184"/>
        </w:trPr>
        <w:tc>
          <w:tcPr>
            <w:tcW w:w="2268" w:type="dxa"/>
            <w:vMerge w:val="restart"/>
            <w:shd w:val="clear" w:color="auto" w:fill="auto"/>
          </w:tcPr>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rsidR="00005854" w:rsidRPr="009F2477" w:rsidRDefault="00005854" w:rsidP="009F2477">
            <w:pPr>
              <w:spacing w:after="0" w:line="240" w:lineRule="auto"/>
              <w:rPr>
                <w:rFonts w:ascii="Times New Roman" w:eastAsia="Times New Roman" w:hAnsi="Times New Roman" w:cs="Times New Roman"/>
                <w:lang w:val="uk-UA" w:eastAsia="uk-UA"/>
              </w:rPr>
            </w:pP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М.П.Гузика»Южнен</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М.П.Гузика»</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 xml:space="preserve"> необхідними меблями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lastRenderedPageBreak/>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Робота з обдарованою молоддю</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одарунк</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вимпел</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кубк</w:t>
            </w:r>
            <w:r w:rsidRPr="009F2477">
              <w:rPr>
                <w:rFonts w:ascii="Times New Roman" w:eastAsia="Times New Roman" w:hAnsi="Times New Roman" w:cs="Times New Roman"/>
                <w:lang w:val="uk-UA" w:eastAsia="ru-RU"/>
              </w:rPr>
              <w:t>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005854" w:rsidRPr="009F2477" w:rsidRDefault="00005854" w:rsidP="009F2477">
            <w:pPr>
              <w:spacing w:after="0" w:line="240" w:lineRule="auto"/>
              <w:rPr>
                <w:rFonts w:ascii="Times New Roman" w:eastAsia="Times New Roman" w:hAnsi="Times New Roman" w:cs="Times New Roman"/>
                <w:b/>
                <w:lang w:val="uk-UA"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rsidTr="00224AA4">
        <w:trPr>
          <w:trHeight w:val="48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9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r w:rsidRPr="009F2477">
              <w:rPr>
                <w:rFonts w:ascii="Times New Roman" w:eastAsia="Times New Roman" w:hAnsi="Times New Roman" w:cs="Times New Roman"/>
                <w:lang w:eastAsia="ru-RU"/>
              </w:rPr>
              <w:t>міського та участ</w:t>
            </w:r>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у обласному</w:t>
            </w:r>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конкурсу-захисту науково-дослідницьких робіт учнів-членів МАН</w:t>
            </w:r>
            <w:r w:rsidRPr="009F2477">
              <w:rPr>
                <w:rFonts w:ascii="Times New Roman" w:eastAsia="Times New Roman" w:hAnsi="Times New Roman" w:cs="Times New Roman"/>
                <w:lang w:val="uk-UA" w:eastAsia="ru-RU"/>
              </w:rPr>
              <w:t xml:space="preserve"> переможців міського туру відповідно до </w:t>
            </w:r>
            <w:r w:rsidRPr="009F2477">
              <w:rPr>
                <w:rFonts w:ascii="Times New Roman" w:eastAsia="Times New Roman" w:hAnsi="Times New Roman" w:cs="Times New Roman"/>
                <w:lang w:val="uk-UA" w:eastAsia="ru-RU"/>
              </w:rPr>
              <w:lastRenderedPageBreak/>
              <w:t>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02"/>
        </w:trPr>
        <w:tc>
          <w:tcPr>
            <w:tcW w:w="9503" w:type="dxa"/>
            <w:gridSpan w:val="6"/>
            <w:shd w:val="clear" w:color="auto" w:fill="auto"/>
          </w:tcPr>
          <w:p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2.4 Соціальний захист учасників освітнього процесу</w:t>
            </w:r>
          </w:p>
        </w:tc>
      </w:tr>
      <w:tr w:rsidR="00005854" w:rsidRPr="009F2477" w:rsidTr="00224AA4">
        <w:trPr>
          <w:trHeight w:val="139"/>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w:t>
            </w:r>
            <w:r w:rsidRPr="009F2477">
              <w:rPr>
                <w:rFonts w:ascii="Times New Roman" w:eastAsia="Times New Roman" w:hAnsi="Times New Roman" w:cs="Times New Roman"/>
                <w:lang w:val="uk-UA" w:eastAsia="ru-RU"/>
              </w:rPr>
              <w:lastRenderedPageBreak/>
              <w:t xml:space="preserve">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rsidR="00CB5521" w:rsidRDefault="00CB5521" w:rsidP="009F2477">
            <w:pPr>
              <w:tabs>
                <w:tab w:val="left" w:pos="-108"/>
              </w:tabs>
              <w:spacing w:after="0" w:line="240" w:lineRule="auto"/>
              <w:rPr>
                <w:rFonts w:ascii="Times New Roman" w:eastAsia="Times New Roman" w:hAnsi="Times New Roman" w:cs="Times New Roman"/>
                <w:lang w:val="uk-UA" w:eastAsia="ru-RU"/>
              </w:rPr>
            </w:pPr>
          </w:p>
          <w:p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9 086,28</w:t>
            </w: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9F2477">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B5521" w:rsidRDefault="00CB5521" w:rsidP="00CB5521">
            <w:pPr>
              <w:spacing w:after="0" w:line="240" w:lineRule="auto"/>
              <w:jc w:val="center"/>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9 721,67</w:t>
            </w: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9F2477">
            <w:pPr>
              <w:spacing w:after="0" w:line="240" w:lineRule="auto"/>
              <w:rPr>
                <w:rFonts w:ascii="Times New Roman" w:eastAsia="Times New Roman" w:hAnsi="Times New Roman" w:cs="Times New Roman"/>
                <w:lang w:val="uk-UA" w:eastAsia="ru-RU"/>
              </w:rPr>
            </w:pPr>
          </w:p>
          <w:p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w:t>
            </w:r>
            <w:r>
              <w:rPr>
                <w:rFonts w:ascii="Times New Roman" w:eastAsia="Times New Roman" w:hAnsi="Times New Roman" w:cs="Times New Roman"/>
                <w:lang w:val="uk-UA" w:eastAsia="ru-RU"/>
              </w:rPr>
              <w:t>,0</w:t>
            </w:r>
          </w:p>
          <w:p w:rsidR="00CB5521" w:rsidRDefault="00CB5521" w:rsidP="00CB5521">
            <w:pPr>
              <w:spacing w:after="0" w:line="240" w:lineRule="auto"/>
              <w:jc w:val="center"/>
              <w:rPr>
                <w:rFonts w:ascii="Times New Roman" w:eastAsia="Times New Roman" w:hAnsi="Times New Roman" w:cs="Times New Roman"/>
                <w:lang w:val="uk-UA" w:eastAsia="ru-RU"/>
              </w:rPr>
            </w:pPr>
          </w:p>
          <w:p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rsidTr="00224AA4">
        <w:trPr>
          <w:trHeight w:val="25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4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r w:rsidRPr="009F2477">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повному обсязі;</w:t>
            </w:r>
            <w:bookmarkStart w:id="10" w:name="n23"/>
            <w:bookmarkEnd w:id="10"/>
          </w:p>
          <w:p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7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rsidTr="00224AA4">
        <w:trPr>
          <w:trHeight w:val="4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2.4.2.</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9F2477">
              <w:rPr>
                <w:rFonts w:ascii="Times New Roman" w:eastAsia="Times New Roman" w:hAnsi="Times New Roman" w:cs="Times New Roman"/>
                <w:bCs/>
                <w:lang w:val="uk-UA" w:eastAsia="ru-RU"/>
              </w:rPr>
              <w:t xml:space="preserve">з </w:t>
            </w:r>
            <w:r w:rsidRPr="009F2477">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51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eastAsia="ru-RU"/>
              </w:rPr>
              <w:t>придбання 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 дітей, що отримують речову мат</w:t>
            </w:r>
            <w:r w:rsidRPr="009F2477">
              <w:rPr>
                <w:rFonts w:ascii="Times New Roman" w:eastAsia="Times New Roman" w:hAnsi="Times New Roman" w:cs="Times New Roman"/>
                <w:lang w:val="uk-UA" w:eastAsia="ru-RU"/>
              </w:rPr>
              <w:t xml:space="preserve">еріальну </w:t>
            </w:r>
            <w:r w:rsidRPr="009F2477">
              <w:rPr>
                <w:rFonts w:ascii="Times New Roman" w:eastAsia="Times New Roman" w:hAnsi="Times New Roman" w:cs="Times New Roman"/>
                <w:lang w:eastAsia="ru-RU"/>
              </w:rPr>
              <w:t xml:space="preserve">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r w:rsidRPr="009F2477">
              <w:rPr>
                <w:rFonts w:ascii="Times New Roman" w:eastAsia="Times New Roman" w:hAnsi="Times New Roman" w:cs="Times New Roman"/>
                <w:lang w:eastAsia="ru-RU"/>
              </w:rPr>
              <w:t xml:space="preserve">артість придбаної </w:t>
            </w:r>
            <w:r w:rsidRPr="009F2477">
              <w:rPr>
                <w:rFonts w:ascii="Times New Roman" w:eastAsia="Times New Roman" w:hAnsi="Times New Roman" w:cs="Times New Roman"/>
                <w:bCs/>
                <w:lang w:eastAsia="ru-RU"/>
              </w:rPr>
              <w:t>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дитину</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w:t>
            </w:r>
            <w:r w:rsidRPr="009F2477">
              <w:rPr>
                <w:rFonts w:ascii="Times New Roman" w:eastAsia="Times New Roman" w:hAnsi="Times New Roman" w:cs="Times New Roman"/>
                <w:lang w:eastAsia="ru-RU"/>
              </w:rPr>
              <w:t>ння дітей</w:t>
            </w:r>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речов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мат</w:t>
            </w:r>
            <w:r w:rsidRPr="009F2477">
              <w:rPr>
                <w:rFonts w:ascii="Times New Roman" w:eastAsia="Times New Roman" w:hAnsi="Times New Roman" w:cs="Times New Roman"/>
                <w:lang w:val="uk-UA" w:eastAsia="ru-RU"/>
              </w:rPr>
              <w:t xml:space="preserve">еріальної </w:t>
            </w:r>
            <w:r w:rsidRPr="009F2477">
              <w:rPr>
                <w:rFonts w:ascii="Times New Roman" w:eastAsia="Times New Roman" w:hAnsi="Times New Roman" w:cs="Times New Roman"/>
                <w:lang w:eastAsia="ru-RU"/>
              </w:rPr>
              <w:t>допомог</w:t>
            </w:r>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bCs/>
                <w:lang w:eastAsia="ru-RU"/>
              </w:rPr>
              <w:t xml:space="preserve">Кабінету Міністрів України від 25.08.2005 р. № 823 </w:t>
            </w:r>
            <w:r w:rsidRPr="009F2477">
              <w:rPr>
                <w:rFonts w:ascii="Times New Roman" w:eastAsia="Times New Roman" w:hAnsi="Times New Roman" w:cs="Times New Roman"/>
                <w:bCs/>
                <w:lang w:eastAsia="ru-RU"/>
              </w:rPr>
              <w:lastRenderedPageBreak/>
              <w:t>із змінами</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r w:rsidRPr="009F2477">
              <w:rPr>
                <w:rFonts w:ascii="Times New Roman" w:eastAsia="Times New Roman" w:hAnsi="Times New Roman" w:cs="Times New Roman"/>
                <w:lang w:eastAsia="ru-RU"/>
              </w:rPr>
              <w:t xml:space="preserve"> грошов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допомог</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2.5. Організація масових заходів та змістовного дозвілля</w:t>
            </w:r>
          </w:p>
        </w:tc>
      </w:tr>
      <w:tr w:rsidR="00005854" w:rsidRPr="009F2477" w:rsidTr="00224AA4">
        <w:trPr>
          <w:trHeight w:val="8921"/>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w:t>
            </w:r>
            <w:r w:rsidRPr="009F2477">
              <w:rPr>
                <w:rFonts w:ascii="Times New Roman" w:eastAsia="Times New Roman" w:hAnsi="Times New Roman" w:cs="Times New Roman"/>
                <w:lang w:val="uk-UA" w:eastAsia="ru-RU"/>
              </w:rPr>
              <w:lastRenderedPageBreak/>
              <w:t>внаслідок поранення, контузії чи каліцтва, одержаних у районі антитерористич-</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rsidR="00005854" w:rsidRPr="009F2477" w:rsidRDefault="00005854" w:rsidP="009F2477">
            <w:pPr>
              <w:spacing w:after="0" w:line="240" w:lineRule="auto"/>
              <w:rPr>
                <w:rFonts w:ascii="Times New Roman" w:eastAsia="Times New Roman" w:hAnsi="Times New Roman" w:cs="Times New Roman"/>
                <w:b/>
                <w:lang w:eastAsia="ru-RU"/>
              </w:rPr>
            </w:pP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В тому числі на </w:t>
            </w:r>
            <w:r w:rsidRPr="009F2477">
              <w:rPr>
                <w:rFonts w:ascii="Times New Roman" w:eastAsia="Times New Roman" w:hAnsi="Times New Roman" w:cs="Times New Roman"/>
                <w:b/>
                <w:lang w:val="uk-UA" w:eastAsia="ru-RU"/>
              </w:rPr>
              <w:lastRenderedPageBreak/>
              <w:t>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1 960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rsidTr="00224AA4">
        <w:trPr>
          <w:trHeight w:val="1350"/>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816"/>
        </w:trPr>
        <w:tc>
          <w:tcPr>
            <w:tcW w:w="2268" w:type="dxa"/>
            <w:vMerge/>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6"/>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r w:rsidRPr="009F2477">
              <w:rPr>
                <w:rFonts w:ascii="Times New Roman" w:eastAsia="Times New Roman" w:hAnsi="Times New Roman" w:cs="Times New Roman"/>
                <w:lang w:eastAsia="ru-RU"/>
              </w:rPr>
              <w:t>змагань</w:t>
            </w: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521"/>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убк</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454"/>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r w:rsidRPr="009F2477">
              <w:rPr>
                <w:rFonts w:ascii="Times New Roman" w:eastAsia="Times New Roman" w:hAnsi="Times New Roman" w:cs="Times New Roman"/>
                <w:lang w:eastAsia="ru-RU"/>
              </w:rPr>
              <w:t>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rsidTr="00224AA4">
        <w:trPr>
          <w:trHeight w:val="312"/>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rsidTr="00224AA4">
        <w:trPr>
          <w:trHeight w:val="333"/>
        </w:trPr>
        <w:tc>
          <w:tcPr>
            <w:tcW w:w="2268" w:type="dxa"/>
            <w:vMerge/>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Створення і </w:t>
            </w:r>
            <w:r w:rsidRPr="009F2477">
              <w:rPr>
                <w:rFonts w:ascii="Times New Roman" w:eastAsia="Times New Roman" w:hAnsi="Times New Roman" w:cs="Times New Roman"/>
                <w:lang w:val="uk-UA" w:eastAsia="ru-RU"/>
              </w:rPr>
              <w:lastRenderedPageBreak/>
              <w:t>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lastRenderedPageBreak/>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rsidTr="00224AA4">
        <w:trPr>
          <w:trHeight w:val="184"/>
        </w:trPr>
        <w:tc>
          <w:tcPr>
            <w:tcW w:w="8364" w:type="dxa"/>
            <w:gridSpan w:val="5"/>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r w:rsidRPr="009F2477">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r w:rsidRPr="009F2477">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 xml:space="preserve">матеріалу та сировини </w:t>
            </w:r>
            <w:r w:rsidRPr="009F2477">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w:t>
            </w:r>
            <w:r w:rsidRPr="009F2477">
              <w:rPr>
                <w:rFonts w:ascii="Times New Roman" w:eastAsia="Times New Roman" w:hAnsi="Times New Roman" w:cs="Times New Roman"/>
                <w:lang w:val="uk-UA" w:eastAsia="uk-UA"/>
              </w:rPr>
              <w:lastRenderedPageBreak/>
              <w:t>забезпечення та матеріалів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наявність навчених викладачів ,</w:t>
            </w:r>
          </w:p>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3.1.5.</w:t>
            </w:r>
          </w:p>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1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rsidTr="00224AA4">
        <w:trPr>
          <w:trHeight w:val="52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5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52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3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6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99"/>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67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rsidTr="00224AA4">
        <w:trPr>
          <w:trHeight w:val="184"/>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поповнення 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p>
          <w:p w:rsidR="00005854" w:rsidRPr="009F2477" w:rsidRDefault="00005854" w:rsidP="009F2477">
            <w:pPr>
              <w:spacing w:after="0" w:line="240" w:lineRule="auto"/>
              <w:rPr>
                <w:rFonts w:ascii="Times New Roman" w:eastAsia="Times New Roman" w:hAnsi="Times New Roman" w:cs="Times New Roman"/>
                <w:lang w:eastAsia="ru-RU"/>
              </w:rPr>
            </w:pPr>
          </w:p>
          <w:p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 xml:space="preserve">комп’ютерного та </w:t>
            </w:r>
            <w:r w:rsidRPr="009F2477">
              <w:rPr>
                <w:rFonts w:ascii="Times New Roman" w:eastAsia="Times New Roman" w:hAnsi="Times New Roman" w:cs="Times New Roman"/>
                <w:lang w:val="uk-UA" w:eastAsia="ru-RU"/>
              </w:rPr>
              <w:t xml:space="preserve">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p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27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10"/>
        </w:trPr>
        <w:tc>
          <w:tcPr>
            <w:tcW w:w="9503" w:type="dxa"/>
            <w:gridSpan w:val="6"/>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w:t>
            </w:r>
            <w:r w:rsidRPr="009F2477">
              <w:rPr>
                <w:rFonts w:ascii="Times New Roman" w:eastAsia="Times New Roman" w:hAnsi="Times New Roman" w:cs="Times New Roman"/>
                <w:lang w:val="uk-UA" w:eastAsia="ru-RU"/>
              </w:rPr>
              <w:lastRenderedPageBreak/>
              <w:t>них управлінню освіти ЮМР.</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p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lastRenderedPageBreak/>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75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50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9503" w:type="dxa"/>
            <w:gridSpan w:val="6"/>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633"/>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273"/>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Проведення міських конкурсів «Вихователь року», «Учитель року» та забезпечення участі в обласних конкурсах. Нагородження </w:t>
            </w:r>
            <w:r w:rsidRPr="009F2477">
              <w:rPr>
                <w:rFonts w:ascii="Times New Roman" w:eastAsia="Times New Roman" w:hAnsi="Times New Roman" w:cs="Times New Roman"/>
                <w:lang w:eastAsia="ru-RU"/>
              </w:rPr>
              <w:lastRenderedPageBreak/>
              <w:t>переможців.</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r w:rsidRPr="009F2477">
              <w:rPr>
                <w:rFonts w:ascii="Times New Roman" w:eastAsia="Times New Roman" w:hAnsi="Times New Roman" w:cs="Times New Roman"/>
                <w:lang w:eastAsia="ru-RU"/>
              </w:rPr>
              <w:t>міських конкурсів</w:t>
            </w:r>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42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rsidTr="00224AA4">
        <w:trPr>
          <w:trHeight w:val="27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5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rsidTr="00224AA4">
        <w:trPr>
          <w:trHeight w:val="591"/>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55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rsidTr="00224AA4">
        <w:trPr>
          <w:trHeight w:val="81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r w:rsidRPr="009F2477">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52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34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rsidTr="00224AA4">
        <w:trPr>
          <w:trHeight w:val="465"/>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27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36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rsidTr="00224AA4">
        <w:trPr>
          <w:trHeight w:val="39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402"/>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437"/>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rsidTr="00224AA4">
        <w:trPr>
          <w:trHeight w:val="27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rsidTr="00224AA4">
        <w:trPr>
          <w:trHeight w:val="184"/>
        </w:trPr>
        <w:tc>
          <w:tcPr>
            <w:tcW w:w="2268" w:type="dxa"/>
            <w:vMerge w:val="restart"/>
            <w:shd w:val="clear" w:color="auto" w:fill="auto"/>
          </w:tcPr>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240"/>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уч</w:t>
            </w:r>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rsidTr="00224AA4">
        <w:trPr>
          <w:trHeight w:val="184"/>
        </w:trPr>
        <w:tc>
          <w:tcPr>
            <w:tcW w:w="2268" w:type="dxa"/>
            <w:vMerge/>
            <w:shd w:val="clear" w:color="auto" w:fill="auto"/>
          </w:tcPr>
          <w:p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6"/>
          <w:footerReference w:type="default" r:id="rId7"/>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numPr>
                <w:ilvl w:val="0"/>
                <w:numId w:val="2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Програми розвитку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p w:rsidR="009F2477" w:rsidRPr="009F2477" w:rsidRDefault="009F2477" w:rsidP="009F2477">
            <w:pPr>
              <w:spacing w:after="0" w:line="240" w:lineRule="auto"/>
              <w:ind w:left="1080"/>
              <w:rPr>
                <w:rFonts w:ascii="Times New Roman" w:eastAsia="Times New Roman" w:hAnsi="Times New Roman" w:cs="Times New Roman"/>
                <w:sz w:val="24"/>
                <w:szCs w:val="24"/>
                <w:lang w:eastAsia="ru-RU"/>
              </w:rPr>
            </w:pPr>
          </w:p>
        </w:tc>
      </w:tr>
      <w:tr w:rsidR="009F2477" w:rsidRPr="009F24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ind w:right="34"/>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Орієнтовні обсяги фінансування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обладнання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9F2477" w:rsidRPr="009F24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24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права дитини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на доступність здобуття якісної дошкільної освіти.</w:t>
            </w:r>
          </w:p>
        </w:tc>
      </w:tr>
      <w:tr w:rsidR="009F2477" w:rsidRPr="009F24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9F2477" w:rsidRPr="009F24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Забезпечення подарунками вихованців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lastRenderedPageBreak/>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«Дошкільна освіта»</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ЗАГАЛЬНА СЕРЕДНЯ ОСВІТА</w:t>
            </w:r>
          </w:p>
        </w:tc>
      </w:tr>
      <w:tr w:rsidR="009F2477"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rsidTr="00224AA4">
        <w:trPr>
          <w:trHeight w:val="446"/>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нового освітнього простору</w:t>
            </w:r>
          </w:p>
        </w:tc>
      </w:tr>
      <w:tr w:rsidR="009F2477" w:rsidRPr="009F2477" w:rsidTr="00224AA4">
        <w:trPr>
          <w:trHeight w:val="54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274"/>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p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Реалізація дослідно-експерименталь-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ної, конструкторсь-</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кої, винахідницької діяльності у навчально-виховному процесі</w:t>
            </w:r>
          </w:p>
        </w:tc>
      </w:tr>
      <w:tr w:rsidR="009F2477" w:rsidRPr="009F2477" w:rsidTr="00224AA4">
        <w:trPr>
          <w:trHeight w:val="568"/>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rsidTr="00224AA4">
        <w:trPr>
          <w:trHeight w:val="370"/>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9F2477" w:rsidRPr="009F2477" w:rsidTr="00224AA4">
        <w:trPr>
          <w:trHeight w:val="373"/>
        </w:trPr>
        <w:tc>
          <w:tcPr>
            <w:tcW w:w="848"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9F2477">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rsidTr="00224AA4">
        <w:trPr>
          <w:trHeight w:val="521"/>
        </w:trPr>
        <w:tc>
          <w:tcPr>
            <w:tcW w:w="848"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r w:rsidRPr="009F2477">
              <w:rPr>
                <w:rFonts w:ascii="Times New Roman" w:eastAsia="Times New Roman" w:hAnsi="Times New Roman" w:cs="Times New Roman"/>
                <w:lang w:eastAsia="ru-RU"/>
              </w:rPr>
              <w:t>ерж</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960"/>
        </w:trPr>
        <w:tc>
          <w:tcPr>
            <w:tcW w:w="848"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w:t>
            </w:r>
            <w:r w:rsidRPr="009F2477">
              <w:rPr>
                <w:rFonts w:ascii="Times New Roman" w:eastAsia="Times New Roman" w:hAnsi="Times New Roman" w:cs="Times New Roman"/>
                <w:lang w:val="uk-UA" w:eastAsia="ru-RU"/>
              </w:rPr>
              <w:lastRenderedPageBreak/>
              <w:t xml:space="preserve">№№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w:t>
            </w:r>
            <w:r w:rsidRPr="009F2477">
              <w:rPr>
                <w:rFonts w:ascii="Times New Roman" w:eastAsia="Times New Roman" w:hAnsi="Times New Roman" w:cs="Times New Roman"/>
                <w:lang w:val="uk-UA" w:eastAsia="ru-RU"/>
              </w:rPr>
              <w:lastRenderedPageBreak/>
              <w:t>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r w:rsidRPr="009F2477">
              <w:rPr>
                <w:rFonts w:ascii="Times New Roman" w:eastAsia="Times New Roman" w:hAnsi="Times New Roman" w:cs="Times New Roman"/>
                <w:lang w:val="uk-UA" w:eastAsia="ru-RU"/>
              </w:rPr>
              <w:lastRenderedPageBreak/>
              <w:t>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охорони управлінням</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поліції охорони (УПО) закладів загальної середньої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uk-UA" w:eastAsia="uk-UA"/>
              </w:rPr>
              <w:t>М.П.Гузика»</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r w:rsidRPr="009F2477">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 xml:space="preserve">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w:t>
            </w:r>
            <w:r w:rsidRPr="009F2477">
              <w:rPr>
                <w:rFonts w:ascii="Times New Roman" w:eastAsia="Times New Roman" w:hAnsi="Times New Roman" w:cs="Times New Roman"/>
                <w:lang w:val="uk-UA" w:eastAsia="ru-RU"/>
              </w:rPr>
              <w:lastRenderedPageBreak/>
              <w:t>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2.2.9.</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2.2.10.</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класу безпеки Ліцею № 3 «Авторська школа М.П.Гузика»Южненської міської ради Одеського району </w:t>
            </w:r>
            <w:r w:rsidRPr="009F2477">
              <w:rPr>
                <w:rFonts w:ascii="Times New Roman" w:eastAsia="Times New Roman" w:hAnsi="Times New Roman" w:cs="Times New Roman"/>
                <w:lang w:val="uk-UA" w:eastAsia="uk-UA"/>
              </w:rPr>
              <w:lastRenderedPageBreak/>
              <w:t>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9F2477">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w:t>
            </w:r>
            <w:r w:rsidRPr="009F2477">
              <w:rPr>
                <w:rFonts w:ascii="Times New Roman" w:eastAsia="Times New Roman" w:hAnsi="Times New Roman" w:cs="Times New Roman"/>
                <w:lang w:val="uk-UA" w:eastAsia="ru-RU"/>
              </w:rPr>
              <w:lastRenderedPageBreak/>
              <w:t>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lastRenderedPageBreak/>
              <w:t>2.2.15</w:t>
            </w:r>
          </w:p>
        </w:tc>
        <w:tc>
          <w:tcPr>
            <w:tcW w:w="2555" w:type="dxa"/>
            <w:tcBorders>
              <w:top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rsidTr="00224AA4">
        <w:trPr>
          <w:trHeight w:val="467"/>
        </w:trPr>
        <w:tc>
          <w:tcPr>
            <w:tcW w:w="848" w:type="dxa"/>
            <w:vMerge w:val="restart"/>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2.2.16</w:t>
            </w:r>
          </w:p>
          <w:p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rsidTr="00224AA4">
        <w:trPr>
          <w:trHeight w:val="559"/>
        </w:trPr>
        <w:tc>
          <w:tcPr>
            <w:tcW w:w="848" w:type="dxa"/>
            <w:vMerge/>
            <w:tcBorders>
              <w:top w:val="nil"/>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val="restart"/>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rsidTr="00224AA4">
        <w:trPr>
          <w:trHeight w:val="553"/>
        </w:trPr>
        <w:tc>
          <w:tcPr>
            <w:tcW w:w="848" w:type="dxa"/>
            <w:vMerge/>
            <w:tcBorders>
              <w:left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2017"/>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lastRenderedPageBreak/>
              <w:t>2.2.18</w:t>
            </w:r>
          </w:p>
        </w:tc>
        <w:tc>
          <w:tcPr>
            <w:tcW w:w="2555" w:type="dxa"/>
            <w:tcBorders>
              <w:left w:val="nil"/>
              <w:bottom w:val="single" w:sz="4" w:space="0" w:color="auto"/>
              <w:right w:val="single" w:sz="4" w:space="0" w:color="auto"/>
            </w:tcBorders>
            <w:shd w:val="clear" w:color="auto" w:fill="auto"/>
          </w:tcPr>
          <w:p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rPr>
                <w:rFonts w:ascii="Times New Roman" w:eastAsia="Times New Roman" w:hAnsi="Times New Roman" w:cs="Times New Roman"/>
                <w:lang w:eastAsia="ru-RU"/>
              </w:rPr>
            </w:pPr>
            <w:r w:rsidRPr="00B66842">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rsidTr="00224AA4">
        <w:trPr>
          <w:trHeight w:val="2017"/>
        </w:trPr>
        <w:tc>
          <w:tcPr>
            <w:tcW w:w="848" w:type="dxa"/>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tc>
        <w:tc>
          <w:tcPr>
            <w:tcW w:w="255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М.П.Гузика»Южнен</w:t>
            </w:r>
          </w:p>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rsidTr="00224AA4">
        <w:trPr>
          <w:trHeight w:val="274"/>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uk-UA"/>
              </w:rPr>
            </w:pPr>
          </w:p>
          <w:p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274"/>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обдарованою молоддю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Охоплення переможців змагань нагородами.</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Виплата одноразової грошової винагороди переможцям V етапу змагань «Пліч-о-пліч всеукраїнські шкільні </w:t>
            </w:r>
            <w:r w:rsidRPr="009F2477">
              <w:rPr>
                <w:rFonts w:ascii="Times New Roman" w:eastAsia="Times New Roman" w:hAnsi="Times New Roman" w:cs="Times New Roman"/>
                <w:lang w:val="uk-UA" w:eastAsia="ru-RU"/>
              </w:rPr>
              <w:lastRenderedPageBreak/>
              <w:t>ліги»</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Стимулювання та заохочення переможців змагань Всеукраїнського рівня.Мотивація учнівської молоді щодо фізичного </w:t>
            </w:r>
            <w:r w:rsidRPr="009F2477">
              <w:rPr>
                <w:rFonts w:ascii="Times New Roman" w:eastAsia="Times New Roman" w:hAnsi="Times New Roman" w:cs="Times New Roman"/>
                <w:lang w:val="uk-UA" w:eastAsia="ru-RU"/>
              </w:rPr>
              <w:lastRenderedPageBreak/>
              <w:t>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224AA4" w:rsidRPr="009F24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Соціальний захист учасників освітнього процесу </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w:t>
            </w:r>
            <w:r w:rsidRPr="009F2477">
              <w:rPr>
                <w:rFonts w:ascii="Times New Roman" w:eastAsia="Times New Roman" w:hAnsi="Times New Roman" w:cs="Times New Roman"/>
                <w:lang w:val="uk-UA" w:eastAsia="ru-RU"/>
              </w:rPr>
              <w:lastRenderedPageBreak/>
              <w:t xml:space="preserve">воєнних дій та збройних конфліктів; дітей з числа внутрішньо переміщених осіб, </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w:t>
            </w: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224AA4" w:rsidRDefault="00224AA4" w:rsidP="007534CB">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jc w:val="center"/>
              <w:rPr>
                <w:rFonts w:ascii="Times New Roman" w:eastAsia="Times New Roman" w:hAnsi="Times New Roman" w:cs="Times New Roman"/>
                <w:lang w:val="uk-UA" w:eastAsia="ru-RU"/>
              </w:rPr>
            </w:pPr>
          </w:p>
          <w:p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9 721,67</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rsidR="00224AA4" w:rsidRDefault="00224AA4" w:rsidP="009F2477">
            <w:pPr>
              <w:spacing w:after="0" w:line="240" w:lineRule="auto"/>
              <w:rPr>
                <w:rFonts w:ascii="Times New Roman" w:eastAsia="Times New Roman" w:hAnsi="Times New Roman" w:cs="Times New Roman"/>
                <w:lang w:val="uk-UA" w:eastAsia="ru-RU"/>
              </w:rPr>
            </w:pPr>
          </w:p>
          <w:p w:rsidR="00224AA4"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27 298,88</w:t>
            </w:r>
          </w:p>
          <w:p w:rsidR="00224AA4"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rsidR="00224AA4" w:rsidRDefault="00224AA4" w:rsidP="007534CB">
            <w:pPr>
              <w:spacing w:after="0" w:line="240" w:lineRule="auto"/>
              <w:rPr>
                <w:rFonts w:ascii="Times New Roman" w:eastAsia="Times New Roman" w:hAnsi="Times New Roman" w:cs="Times New Roman"/>
                <w:lang w:val="uk-UA" w:eastAsia="ru-RU"/>
              </w:rPr>
            </w:pPr>
          </w:p>
          <w:p w:rsidR="00224AA4" w:rsidRDefault="00224AA4" w:rsidP="007534CB">
            <w:pPr>
              <w:spacing w:after="0" w:line="240" w:lineRule="auto"/>
              <w:rPr>
                <w:rFonts w:ascii="Times New Roman" w:eastAsia="Times New Roman" w:hAnsi="Times New Roman" w:cs="Times New Roman"/>
                <w:lang w:val="uk-UA" w:eastAsia="ru-RU"/>
              </w:rPr>
            </w:pPr>
          </w:p>
          <w:p w:rsidR="00224AA4" w:rsidRPr="009F2477"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Зміцнення здоров’я дітей</w:t>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rsidR="00224AA4" w:rsidRPr="009F2477" w:rsidRDefault="00224AA4" w:rsidP="009F2477">
            <w:pPr>
              <w:spacing w:after="0" w:line="240" w:lineRule="auto"/>
              <w:rPr>
                <w:rFonts w:ascii="Times New Roman" w:eastAsia="Times New Roman" w:hAnsi="Times New Roman" w:cs="Times New Roman"/>
                <w:lang w:eastAsia="ru-RU"/>
              </w:rPr>
            </w:pPr>
          </w:p>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Забезпечення харчуванням (сухими </w:t>
            </w:r>
            <w:r w:rsidRPr="009F2477">
              <w:rPr>
                <w:rFonts w:ascii="Times New Roman" w:eastAsia="Times New Roman" w:hAnsi="Times New Roman" w:cs="Times New Roman"/>
                <w:lang w:val="uk-UA" w:eastAsia="ru-RU"/>
              </w:rPr>
              <w:lastRenderedPageBreak/>
              <w:t>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можливості безперервного перебування </w:t>
            </w:r>
            <w:r w:rsidRPr="009F2477">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2.4.3.</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9F24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lang w:eastAsia="ru-RU"/>
              </w:rPr>
              <w:t>Кабінету Міністрів України від 25.08.2005 р. № 823 із змінами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rsidTr="00224AA4">
        <w:trPr>
          <w:trHeight w:val="290"/>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держ.</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224AA4" w:rsidRPr="009F24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кондитерських виробів для учнів до різдвяних </w:t>
            </w:r>
            <w:r w:rsidRPr="009F2477">
              <w:rPr>
                <w:rFonts w:ascii="Times New Roman" w:eastAsia="Times New Roman" w:hAnsi="Times New Roman" w:cs="Times New Roman"/>
                <w:lang w:val="uk-UA" w:eastAsia="ru-RU"/>
              </w:rPr>
              <w:lastRenderedPageBreak/>
              <w:t>свят, а саме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r w:rsidRPr="009F2477">
              <w:rPr>
                <w:rFonts w:ascii="Times New Roman" w:eastAsia="Times New Roman" w:hAnsi="Times New Roman" w:cs="Times New Roman"/>
                <w:lang w:val="uk-UA" w:eastAsia="ru-RU"/>
              </w:rPr>
              <w:lastRenderedPageBreak/>
              <w:t>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Default="00224AA4" w:rsidP="009F2477">
            <w:pPr>
              <w:spacing w:after="0" w:line="240" w:lineRule="auto"/>
              <w:jc w:val="center"/>
              <w:rPr>
                <w:rFonts w:ascii="Times New Roman" w:eastAsia="Times New Roman" w:hAnsi="Times New Roman" w:cs="Times New Roman"/>
                <w:b/>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подарунками</w:t>
            </w:r>
            <w:r w:rsidRPr="009F2477">
              <w:rPr>
                <w:rFonts w:ascii="Times New Roman" w:eastAsia="Times New Roman" w:hAnsi="Times New Roman" w:cs="Times New Roman"/>
                <w:lang w:val="uk-UA" w:eastAsia="ru-RU"/>
              </w:rPr>
              <w:t>/ кондитерськими воробами</w:t>
            </w:r>
            <w:r w:rsidRPr="009F2477">
              <w:rPr>
                <w:rFonts w:ascii="Times New Roman" w:eastAsia="Times New Roman" w:hAnsi="Times New Roman" w:cs="Times New Roman"/>
                <w:lang w:eastAsia="ru-RU"/>
              </w:rPr>
              <w:t xml:space="preserve"> учнів початкових класів та учнів 5-11(12) класів </w:t>
            </w:r>
            <w:r w:rsidRPr="009F2477">
              <w:rPr>
                <w:rFonts w:ascii="Times New Roman" w:eastAsia="Times New Roman" w:hAnsi="Times New Roman" w:cs="Times New Roman"/>
                <w:lang w:eastAsia="ru-RU"/>
              </w:rPr>
              <w:lastRenderedPageBreak/>
              <w:t>пільгових категорій.</w:t>
            </w:r>
          </w:p>
          <w:p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Впровадження та розвиток інклюзивної освіти </w:t>
            </w:r>
          </w:p>
        </w:tc>
      </w:tr>
      <w:tr w:rsidR="00224AA4" w:rsidRPr="009F2477" w:rsidTr="00224AA4">
        <w:trPr>
          <w:trHeight w:val="420"/>
        </w:trPr>
        <w:tc>
          <w:tcPr>
            <w:tcW w:w="848" w:type="dxa"/>
            <w:tcBorders>
              <w:top w:val="nil"/>
              <w:left w:val="single" w:sz="4" w:space="0" w:color="auto"/>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vMerge w:val="restart"/>
            <w:tcBorders>
              <w:top w:val="nil"/>
              <w:left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nil"/>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224AA4" w:rsidRPr="009F2477" w:rsidTr="00224AA4">
        <w:trPr>
          <w:trHeight w:val="80"/>
        </w:trPr>
        <w:tc>
          <w:tcPr>
            <w:tcW w:w="848" w:type="dxa"/>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701" w:type="dxa"/>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val="restart"/>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80"/>
        </w:trPr>
        <w:tc>
          <w:tcPr>
            <w:tcW w:w="848" w:type="dxa"/>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bottom w:val="single" w:sz="4" w:space="0" w:color="000000"/>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color w:val="FF0000"/>
                <w:lang w:val="uk-UA" w:eastAsia="ru-RU"/>
              </w:rPr>
            </w:pPr>
          </w:p>
        </w:tc>
        <w:tc>
          <w:tcPr>
            <w:tcW w:w="1701" w:type="dxa"/>
            <w:tcBorders>
              <w:top w:val="nil"/>
              <w:left w:val="single" w:sz="4" w:space="0" w:color="auto"/>
              <w:bottom w:val="single" w:sz="4" w:space="0" w:color="000000"/>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bottom w:val="single" w:sz="4" w:space="0" w:color="000000"/>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single" w:sz="4" w:space="0" w:color="auto"/>
              <w:bottom w:val="single" w:sz="4" w:space="0" w:color="000000"/>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142"/>
        </w:trPr>
        <w:tc>
          <w:tcPr>
            <w:tcW w:w="848" w:type="dxa"/>
            <w:vMerge w:val="restart"/>
            <w:tcBorders>
              <w:top w:val="nil"/>
              <w:left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nil"/>
              <w:left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rsidTr="00224AA4">
        <w:trPr>
          <w:trHeight w:val="80"/>
        </w:trPr>
        <w:tc>
          <w:tcPr>
            <w:tcW w:w="848" w:type="dxa"/>
            <w:vMerge/>
            <w:tcBorders>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rsidTr="00224AA4">
        <w:trPr>
          <w:trHeight w:val="43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nil"/>
              <w:left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«Загальна середня освіта»</w:t>
            </w:r>
          </w:p>
          <w:p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lastRenderedPageBreak/>
              <w:t> </w:t>
            </w:r>
          </w:p>
          <w:p w:rsidR="00224AA4" w:rsidRPr="009F2477" w:rsidRDefault="00224AA4"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lastRenderedPageBreak/>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nil"/>
              <w:left w:val="nil"/>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rsidTr="00224AA4">
        <w:trPr>
          <w:trHeight w:val="435"/>
        </w:trPr>
        <w:tc>
          <w:tcPr>
            <w:tcW w:w="848" w:type="dxa"/>
            <w:vMerge/>
            <w:tcBorders>
              <w:top w:val="nil"/>
              <w:left w:val="single" w:sz="4" w:space="0" w:color="auto"/>
              <w:bottom w:val="single" w:sz="4" w:space="0" w:color="000000"/>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державний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nil"/>
              <w:left w:val="nil"/>
              <w:bottom w:val="single" w:sz="4" w:space="0" w:color="auto"/>
              <w:right w:val="single" w:sz="4" w:space="0" w:color="auto"/>
            </w:tcBorders>
            <w:shd w:val="clear" w:color="auto" w:fill="auto"/>
          </w:tcPr>
          <w:p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00224AA4" w:rsidRPr="009F2477">
              <w:rPr>
                <w:rFonts w:ascii="Times New Roman" w:eastAsia="Times New Roman" w:hAnsi="Times New Roman" w:cs="Times New Roman"/>
                <w:b/>
                <w:sz w:val="18"/>
                <w:szCs w:val="18"/>
                <w:lang w:val="uk-UA" w:eastAsia="ru-RU"/>
              </w:rPr>
              <w:t>,00</w:t>
            </w:r>
          </w:p>
        </w:tc>
        <w:tc>
          <w:tcPr>
            <w:tcW w:w="1276" w:type="dxa"/>
            <w:tcBorders>
              <w:top w:val="nil"/>
              <w:left w:val="nil"/>
              <w:bottom w:val="single" w:sz="4" w:space="0" w:color="auto"/>
              <w:right w:val="single" w:sz="4" w:space="0" w:color="auto"/>
            </w:tcBorders>
            <w:shd w:val="clear" w:color="auto" w:fill="auto"/>
          </w:tcPr>
          <w:p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00224AA4"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sidR="003233C3">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sidR="003233C3">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nil"/>
              <w:left w:val="nil"/>
              <w:bottom w:val="single" w:sz="4" w:space="0" w:color="auto"/>
              <w:right w:val="single" w:sz="4" w:space="0" w:color="auto"/>
            </w:tcBorders>
            <w:shd w:val="clear" w:color="auto" w:fill="auto"/>
          </w:tcPr>
          <w:p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00224AA4"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18"/>
                <w:szCs w:val="18"/>
                <w:lang w:eastAsia="ru-RU"/>
              </w:rPr>
            </w:pPr>
          </w:p>
        </w:tc>
      </w:tr>
      <w:tr w:rsidR="00224AA4" w:rsidRPr="009F2477" w:rsidTr="00224AA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заходу, </w:t>
            </w:r>
            <w:r w:rsidRPr="009F2477">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224AA4" w:rsidRPr="009F24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lastRenderedPageBreak/>
              <w:t>3.1.4.</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t>3.</w:t>
            </w:r>
            <w:r w:rsidRPr="009F2477">
              <w:rPr>
                <w:rFonts w:ascii="Times New Roman" w:eastAsia="Times New Roman" w:hAnsi="Times New Roman" w:cs="Times New Roman"/>
                <w:color w:val="000000"/>
                <w:lang w:val="uk-UA" w:eastAsia="ru-RU"/>
              </w:rPr>
              <w:t>1.6.</w:t>
            </w:r>
          </w:p>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224AA4" w:rsidRPr="009F24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Сучасний рівень оснащення ПНЗ комп'ютерною технікою</w:t>
            </w: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якісної роботи гуртків науково - технічного напрямку.</w:t>
            </w:r>
          </w:p>
        </w:tc>
      </w:tr>
      <w:tr w:rsidR="00224AA4" w:rsidRPr="009F24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362"/>
        </w:trPr>
        <w:tc>
          <w:tcPr>
            <w:tcW w:w="848" w:type="dxa"/>
            <w:tcBorders>
              <w:top w:val="nil"/>
              <w:left w:val="single" w:sz="4" w:space="0" w:color="auto"/>
              <w:bottom w:val="nil"/>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Строки виконан</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Джерела фінансу</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p w:rsidR="00224AA4" w:rsidRPr="009F2477" w:rsidRDefault="00224AA4" w:rsidP="009F2477">
            <w:pPr>
              <w:spacing w:after="0" w:line="240" w:lineRule="auto"/>
              <w:jc w:val="both"/>
              <w:rPr>
                <w:rFonts w:ascii="Times New Roman" w:eastAsia="Times New Roman" w:hAnsi="Times New Roman" w:cs="Times New Roman"/>
                <w:lang w:val="uk-UA" w:eastAsia="ru-RU"/>
              </w:rPr>
            </w:pPr>
          </w:p>
          <w:p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заклади </w:t>
            </w:r>
            <w:r w:rsidRPr="009F2477">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lang w:val="uk-UA" w:eastAsia="ru-RU"/>
              </w:rPr>
            </w:pPr>
          </w:p>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закладів та установ,підпорядкованих управлінню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color w:val="000000"/>
                <w:lang w:eastAsia="ru-RU"/>
              </w:rPr>
              <w:t>Всього за напрямом «</w:t>
            </w:r>
            <w:r w:rsidRPr="009F2477">
              <w:rPr>
                <w:rFonts w:ascii="Times New Roman" w:eastAsia="Times New Roman" w:hAnsi="Times New Roman" w:cs="Times New Roman"/>
                <w:b/>
                <w:bCs/>
                <w:color w:val="000000"/>
                <w:lang w:val="uk-UA" w:eastAsia="ru-RU"/>
              </w:rPr>
              <w:t>К</w:t>
            </w:r>
            <w:r w:rsidRPr="009F2477">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rsidTr="00224AA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Очікувані кінцеві результати</w:t>
            </w:r>
          </w:p>
        </w:tc>
      </w:tr>
      <w:tr w:rsidR="00224AA4" w:rsidRPr="009F24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224AA4" w:rsidRPr="009F2477" w:rsidTr="00224AA4">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Проведення міських конкурсів «Вихователь року», «Учитель року» та забезпечення участі в обласних конкурсах. Нагородження </w:t>
            </w:r>
            <w:r w:rsidRPr="009F2477">
              <w:rPr>
                <w:rFonts w:ascii="Times New Roman" w:eastAsia="Times New Roman" w:hAnsi="Times New Roman" w:cs="Times New Roman"/>
                <w:lang w:eastAsia="ru-RU"/>
              </w:rPr>
              <w:lastRenderedPageBreak/>
              <w:t>переможців</w:t>
            </w:r>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9F2477">
              <w:rPr>
                <w:rFonts w:ascii="Times New Roman" w:eastAsia="Times New Roman" w:hAnsi="Times New Roman" w:cs="Times New Roman"/>
                <w:lang w:val="uk-UA" w:eastAsia="ru-RU"/>
              </w:rPr>
              <w:t>ж</w:t>
            </w:r>
            <w:r w:rsidRPr="009F2477">
              <w:rPr>
                <w:rFonts w:ascii="Times New Roman" w:eastAsia="Times New Roman" w:hAnsi="Times New Roman" w:cs="Times New Roman"/>
                <w:lang w:eastAsia="ru-RU"/>
              </w:rPr>
              <w:t>ненської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розповсюдження їх досвіду</w:t>
            </w:r>
          </w:p>
        </w:tc>
      </w:tr>
      <w:tr w:rsidR="00224AA4" w:rsidRPr="009F24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Розповсюдження передового досвіду.</w:t>
            </w:r>
          </w:p>
        </w:tc>
      </w:tr>
      <w:tr w:rsidR="00224AA4" w:rsidRPr="009F24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224AA4" w:rsidRPr="009F24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224AA4" w:rsidRPr="009F2477" w:rsidTr="00224AA4">
        <w:trPr>
          <w:trHeight w:val="561"/>
        </w:trPr>
        <w:tc>
          <w:tcPr>
            <w:tcW w:w="848" w:type="dxa"/>
            <w:vMerge w:val="restart"/>
            <w:tcBorders>
              <w:top w:val="nil"/>
              <w:left w:val="single" w:sz="4" w:space="0" w:color="auto"/>
              <w:right w:val="single" w:sz="4" w:space="0" w:color="auto"/>
            </w:tcBorders>
            <w:shd w:val="clear" w:color="auto" w:fill="auto"/>
            <w:hideMark/>
          </w:tcPr>
          <w:p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«Науково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rsidTr="00224AA4">
        <w:trPr>
          <w:trHeight w:val="178"/>
        </w:trPr>
        <w:tc>
          <w:tcPr>
            <w:tcW w:w="848" w:type="dxa"/>
            <w:vMerge/>
            <w:tcBorders>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rsidTr="00224AA4">
        <w:trPr>
          <w:trHeight w:val="451"/>
        </w:trPr>
        <w:tc>
          <w:tcPr>
            <w:tcW w:w="848" w:type="dxa"/>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rsidTr="00224AA4">
        <w:trPr>
          <w:trHeight w:val="461"/>
        </w:trPr>
        <w:tc>
          <w:tcPr>
            <w:tcW w:w="848" w:type="dxa"/>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r w:rsidRPr="009F2477">
        <w:rPr>
          <w:rFonts w:ascii="Times New Roman" w:eastAsia="Times New Roman" w:hAnsi="Times New Roman" w:cs="Times New Roman"/>
          <w:b/>
          <w:color w:val="000000"/>
          <w:sz w:val="24"/>
          <w:szCs w:val="24"/>
          <w:lang w:val="uk-UA" w:eastAsia="ru-RU"/>
        </w:rPr>
        <w:t xml:space="preserve">Секретар ради                                                                                                     Ігор ЧУГУННИКОВ              </w:t>
      </w:r>
    </w:p>
    <w:p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EA0427" w:rsidRDefault="009A2EA1" w:rsidP="00EA70DD">
      <w:pPr>
        <w:shd w:val="clear" w:color="auto" w:fill="FFFFFF"/>
        <w:autoSpaceDE w:val="0"/>
        <w:autoSpaceDN w:val="0"/>
        <w:adjustRightInd w:val="0"/>
        <w:spacing w:after="0" w:line="240" w:lineRule="auto"/>
      </w:pPr>
      <w:r>
        <w:rPr>
          <w:rFonts w:ascii="Times New Roman" w:eastAsia="Times New Roman" w:hAnsi="Times New Roman" w:cs="Times New Roman"/>
          <w:color w:val="000000"/>
          <w:sz w:val="20"/>
          <w:szCs w:val="20"/>
          <w:lang w:val="uk-UA" w:eastAsia="ru-RU"/>
        </w:rPr>
        <w:t>В</w:t>
      </w:r>
      <w:r w:rsidR="009F2477" w:rsidRPr="009F2477">
        <w:rPr>
          <w:rFonts w:ascii="Times New Roman" w:eastAsia="Times New Roman" w:hAnsi="Times New Roman" w:cs="Times New Roman"/>
          <w:color w:val="000000"/>
          <w:sz w:val="20"/>
          <w:szCs w:val="20"/>
          <w:lang w:val="uk-UA" w:eastAsia="ru-RU"/>
        </w:rPr>
        <w:t xml:space="preserve">иконавець : </w:t>
      </w:r>
      <w:r>
        <w:rPr>
          <w:rFonts w:ascii="Times New Roman" w:eastAsia="Times New Roman" w:hAnsi="Times New Roman" w:cs="Times New Roman"/>
          <w:color w:val="000000"/>
          <w:sz w:val="20"/>
          <w:szCs w:val="20"/>
          <w:lang w:val="uk-UA" w:eastAsia="ru-RU"/>
        </w:rPr>
        <w:t>Тітовська Майя</w:t>
      </w:r>
      <w:bookmarkStart w:id="16" w:name="_GoBack"/>
      <w:bookmarkEnd w:id="16"/>
    </w:p>
    <w:sectPr w:rsidR="00EA0427" w:rsidSect="00224AA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24AA4" w:rsidRDefault="00224AA4" w:rsidP="00224A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A70DD">
      <w:rPr>
        <w:rStyle w:val="ac"/>
        <w:noProof/>
      </w:rPr>
      <w:t>56</w:t>
    </w:r>
    <w:r>
      <w:rPr>
        <w:rStyle w:val="ac"/>
      </w:rPr>
      <w:fldChar w:fldCharType="end"/>
    </w:r>
  </w:p>
  <w:p w:rsidR="00224AA4" w:rsidRDefault="00224AA4" w:rsidP="00224AA4">
    <w:pPr>
      <w:pStyle w:val="a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57"/>
    <w:rsid w:val="00005854"/>
    <w:rsid w:val="000353A1"/>
    <w:rsid w:val="00224AA4"/>
    <w:rsid w:val="00227B57"/>
    <w:rsid w:val="0031297A"/>
    <w:rsid w:val="003233C3"/>
    <w:rsid w:val="003E2E66"/>
    <w:rsid w:val="005706D3"/>
    <w:rsid w:val="007534CB"/>
    <w:rsid w:val="00975603"/>
    <w:rsid w:val="009A2EA1"/>
    <w:rsid w:val="009F2477"/>
    <w:rsid w:val="00AB0842"/>
    <w:rsid w:val="00AE5CFB"/>
    <w:rsid w:val="00CB5521"/>
    <w:rsid w:val="00D70E71"/>
    <w:rsid w:val="00EA0427"/>
    <w:rsid w:val="00EA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Normal">
    <w:name w:val="Normal"/>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ListParagraph">
    <w:name w:val="List Paragraph"/>
    <w:basedOn w:val="a"/>
    <w:rsid w:val="009F2477"/>
    <w:pPr>
      <w:ind w:left="720"/>
      <w:contextualSpacing/>
    </w:pPr>
    <w:rPr>
      <w:rFonts w:ascii="Calibri" w:eastAsia="Times New Roman" w:hAnsi="Calibri" w:cs="Times New Roman"/>
    </w:rPr>
  </w:style>
  <w:style w:type="character" w:customStyle="1" w:styleId="Bodytext">
    <w:name w:val="Body text_"/>
    <w:link w:val="Bodytext0"/>
    <w:locked/>
    <w:rsid w:val="009F2477"/>
    <w:rPr>
      <w:b/>
      <w:bCs/>
      <w:spacing w:val="10"/>
      <w:shd w:val="clear" w:color="auto" w:fill="FFFFFF"/>
    </w:rPr>
  </w:style>
  <w:style w:type="paragraph" w:customStyle="1" w:styleId="Bodytext0">
    <w:name w:val="Body text"/>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2"/>
    <w:uiPriority w:val="99"/>
    <w:rsid w:val="009F2477"/>
    <w:rPr>
      <w:spacing w:val="4"/>
      <w:sz w:val="25"/>
      <w:szCs w:val="25"/>
      <w:shd w:val="clear" w:color="auto" w:fill="FFFFFF"/>
    </w:rPr>
  </w:style>
  <w:style w:type="paragraph" w:customStyle="1" w:styleId="12">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Normal">
    <w:name w:val="Normal"/>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ListParagraph">
    <w:name w:val="List Paragraph"/>
    <w:basedOn w:val="a"/>
    <w:rsid w:val="009F2477"/>
    <w:pPr>
      <w:ind w:left="720"/>
      <w:contextualSpacing/>
    </w:pPr>
    <w:rPr>
      <w:rFonts w:ascii="Calibri" w:eastAsia="Times New Roman" w:hAnsi="Calibri" w:cs="Times New Roman"/>
    </w:rPr>
  </w:style>
  <w:style w:type="character" w:customStyle="1" w:styleId="Bodytext">
    <w:name w:val="Body text_"/>
    <w:link w:val="Bodytext0"/>
    <w:locked/>
    <w:rsid w:val="009F2477"/>
    <w:rPr>
      <w:b/>
      <w:bCs/>
      <w:spacing w:val="10"/>
      <w:shd w:val="clear" w:color="auto" w:fill="FFFFFF"/>
    </w:rPr>
  </w:style>
  <w:style w:type="paragraph" w:customStyle="1" w:styleId="Bodytext0">
    <w:name w:val="Body text"/>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2"/>
    <w:uiPriority w:val="99"/>
    <w:rsid w:val="009F2477"/>
    <w:rPr>
      <w:spacing w:val="4"/>
      <w:sz w:val="25"/>
      <w:szCs w:val="25"/>
      <w:shd w:val="clear" w:color="auto" w:fill="FFFFFF"/>
    </w:rPr>
  </w:style>
  <w:style w:type="paragraph" w:customStyle="1" w:styleId="12">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56</Pages>
  <Words>15630</Words>
  <Characters>89091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16</cp:revision>
  <dcterms:created xsi:type="dcterms:W3CDTF">2024-10-10T04:23:00Z</dcterms:created>
  <dcterms:modified xsi:type="dcterms:W3CDTF">2024-10-10T05:08:00Z</dcterms:modified>
</cp:coreProperties>
</file>