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446E2" w14:textId="77777777" w:rsidR="00B046B8" w:rsidRDefault="00B046B8" w:rsidP="00B046B8">
      <w:pPr>
        <w:jc w:val="center"/>
        <w:rPr>
          <w:b/>
          <w:bCs/>
          <w:lang w:val="uk-UA"/>
        </w:rPr>
      </w:pPr>
      <w:r>
        <w:rPr>
          <w:b/>
          <w:bCs/>
          <w:lang w:val="uk-UA"/>
        </w:rPr>
        <w:t xml:space="preserve">Обґрунтування </w:t>
      </w:r>
    </w:p>
    <w:p w14:paraId="395023D8" w14:textId="30E119B9" w:rsidR="00B046B8" w:rsidRDefault="00B046B8" w:rsidP="00B046B8">
      <w:pPr>
        <w:jc w:val="center"/>
        <w:rPr>
          <w:b/>
          <w:bCs/>
          <w:lang w:val="uk-UA"/>
        </w:rPr>
      </w:pPr>
      <w:r>
        <w:rPr>
          <w:b/>
          <w:bCs/>
          <w:lang w:val="uk-UA"/>
        </w:rPr>
        <w:t xml:space="preserve">до </w:t>
      </w:r>
      <w:proofErr w:type="spellStart"/>
      <w:r>
        <w:rPr>
          <w:b/>
          <w:bCs/>
          <w:lang w:val="uk-UA"/>
        </w:rPr>
        <w:t>проєкту</w:t>
      </w:r>
      <w:proofErr w:type="spellEnd"/>
      <w:r>
        <w:rPr>
          <w:b/>
          <w:bCs/>
          <w:lang w:val="uk-UA"/>
        </w:rPr>
        <w:t xml:space="preserve"> рішення </w:t>
      </w:r>
      <w:proofErr w:type="spellStart"/>
      <w:r>
        <w:rPr>
          <w:b/>
          <w:bCs/>
          <w:lang w:val="uk-UA"/>
        </w:rPr>
        <w:t>Південнівської</w:t>
      </w:r>
      <w:proofErr w:type="spellEnd"/>
      <w:r>
        <w:rPr>
          <w:b/>
          <w:bCs/>
          <w:lang w:val="uk-UA"/>
        </w:rPr>
        <w:t xml:space="preserve"> міської ради Одеського району Одеської області</w:t>
      </w:r>
    </w:p>
    <w:p w14:paraId="75E0AF28" w14:textId="53BF1350" w:rsidR="00B046B8" w:rsidRDefault="00B046B8" w:rsidP="00B046B8">
      <w:pPr>
        <w:pStyle w:val="1"/>
        <w:rPr>
          <w:bCs w:val="0"/>
        </w:rPr>
      </w:pPr>
      <w:r>
        <w:t xml:space="preserve">«Про затвердження підсумкового звіту про результати виконання </w:t>
      </w:r>
      <w:r>
        <w:rPr>
          <w:bCs w:val="0"/>
          <w:iCs/>
        </w:rPr>
        <w:t xml:space="preserve">Програми </w:t>
      </w:r>
      <w:r>
        <w:rPr>
          <w:iCs/>
        </w:rPr>
        <w:t>сприяння оборонній і мобілізаційній готовності Южненської міської територіальної громади</w:t>
      </w:r>
      <w:r>
        <w:t xml:space="preserve"> на 2022-2024 роки»</w:t>
      </w:r>
      <w:r>
        <w:rPr>
          <w:bCs w:val="0"/>
        </w:rPr>
        <w:t>, за 2022-2024 роки</w:t>
      </w:r>
    </w:p>
    <w:p w14:paraId="6454B4D5" w14:textId="20AA483E" w:rsidR="009C5978" w:rsidRDefault="009C5978" w:rsidP="009C5978">
      <w:pPr>
        <w:rPr>
          <w:lang w:val="uk-UA"/>
        </w:rPr>
      </w:pPr>
    </w:p>
    <w:p w14:paraId="1998EE1D" w14:textId="77777777" w:rsidR="008F69C3" w:rsidRPr="008F69C3" w:rsidRDefault="008F69C3" w:rsidP="008F69C3">
      <w:pPr>
        <w:ind w:firstLine="709"/>
        <w:jc w:val="both"/>
        <w:rPr>
          <w:bCs/>
          <w:iCs/>
          <w:lang w:val="uk-UA"/>
        </w:rPr>
      </w:pPr>
      <w:r w:rsidRPr="008F69C3">
        <w:rPr>
          <w:bCs/>
          <w:iCs/>
          <w:lang w:val="uk-UA"/>
        </w:rPr>
        <w:t xml:space="preserve">Рішенням </w:t>
      </w:r>
      <w:r w:rsidRPr="008F69C3">
        <w:rPr>
          <w:lang w:val="uk-UA"/>
        </w:rPr>
        <w:t>Южненської міської ради Одеського району Одеської області від 22.07.2021 р. №480-</w:t>
      </w:r>
      <w:r w:rsidRPr="008F69C3">
        <w:t>VII</w:t>
      </w:r>
      <w:r w:rsidRPr="008F69C3">
        <w:rPr>
          <w:lang w:val="en-US"/>
        </w:rPr>
        <w:t>I</w:t>
      </w:r>
      <w:r w:rsidRPr="008F69C3">
        <w:rPr>
          <w:lang w:val="uk-UA"/>
        </w:rPr>
        <w:t xml:space="preserve"> (зі змінами) </w:t>
      </w:r>
      <w:r w:rsidRPr="008F69C3">
        <w:rPr>
          <w:bCs/>
          <w:iCs/>
          <w:lang w:val="uk-UA"/>
        </w:rPr>
        <w:t xml:space="preserve">затверджена Програма </w:t>
      </w:r>
      <w:r w:rsidRPr="008F69C3">
        <w:rPr>
          <w:iCs/>
          <w:lang w:val="uk-UA"/>
        </w:rPr>
        <w:t>сприяння оборонній і мобілізаційній готовності Южненської міської територіальної громади</w:t>
      </w:r>
      <w:r w:rsidRPr="008F69C3">
        <w:rPr>
          <w:lang w:val="uk-UA"/>
        </w:rPr>
        <w:t xml:space="preserve"> на 2022-2024 роки</w:t>
      </w:r>
      <w:r w:rsidRPr="008F69C3">
        <w:rPr>
          <w:bCs/>
          <w:lang w:val="uk-UA"/>
        </w:rPr>
        <w:t xml:space="preserve"> </w:t>
      </w:r>
      <w:r w:rsidRPr="008F69C3">
        <w:rPr>
          <w:bCs/>
          <w:iCs/>
          <w:lang w:val="uk-UA"/>
        </w:rPr>
        <w:t xml:space="preserve">(надалі по тексту - Програма).  </w:t>
      </w:r>
    </w:p>
    <w:p w14:paraId="1AF38AB5" w14:textId="77777777" w:rsidR="008F69C3" w:rsidRPr="008F69C3" w:rsidRDefault="008F69C3" w:rsidP="008F69C3">
      <w:pPr>
        <w:ind w:firstLine="709"/>
        <w:jc w:val="both"/>
        <w:rPr>
          <w:lang w:val="uk-UA"/>
        </w:rPr>
      </w:pPr>
      <w:r w:rsidRPr="008F69C3">
        <w:rPr>
          <w:lang w:val="uk-UA"/>
        </w:rPr>
        <w:t xml:space="preserve">Метою Програми є сприяння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проведення комплексу заходів щодо призову та відправлення у війська військовозобов'язаних та підготовці молоді до служби в Збройних Силах України, організації навчальних (перевірочних) та спеціальних військових зборів на 2022-2024 роки.  </w:t>
      </w:r>
    </w:p>
    <w:p w14:paraId="55D4B25A" w14:textId="77777777" w:rsidR="008F69C3" w:rsidRPr="008F69C3" w:rsidRDefault="008F69C3" w:rsidP="008F69C3">
      <w:pPr>
        <w:ind w:firstLine="708"/>
        <w:jc w:val="both"/>
        <w:rPr>
          <w:lang w:val="uk-UA"/>
        </w:rPr>
      </w:pPr>
      <w:bookmarkStart w:id="0" w:name="_Hlk160035037"/>
      <w:r w:rsidRPr="008F69C3">
        <w:rPr>
          <w:lang w:val="uk-UA"/>
        </w:rPr>
        <w:t xml:space="preserve">  Взаємодія виконавчого комітету </w:t>
      </w:r>
      <w:proofErr w:type="spellStart"/>
      <w:r>
        <w:rPr>
          <w:lang w:val="uk-UA"/>
        </w:rPr>
        <w:t>Південніської</w:t>
      </w:r>
      <w:proofErr w:type="spellEnd"/>
      <w:r w:rsidRPr="008F69C3">
        <w:rPr>
          <w:lang w:val="uk-UA"/>
        </w:rPr>
        <w:t xml:space="preserve"> міської ради Одеського району Одеської області з Третім відділом Одеського районного територіального центру комплектування та соціальної підтримки , підприємствами, закладами освіти та іншими організаціями, з усіх питань, пов'язаних з проведенням приписки, була налагоджена.</w:t>
      </w:r>
    </w:p>
    <w:p w14:paraId="12440085" w14:textId="5BCAFDD6" w:rsidR="008F69C3" w:rsidRDefault="008F69C3" w:rsidP="008F69C3">
      <w:pPr>
        <w:ind w:firstLine="567"/>
        <w:jc w:val="both"/>
        <w:rPr>
          <w:lang w:val="uk-UA"/>
        </w:rPr>
      </w:pPr>
    </w:p>
    <w:p w14:paraId="0C1CEFC3" w14:textId="1D48F0A1" w:rsidR="008F69C3" w:rsidRPr="008F69C3" w:rsidRDefault="008F69C3" w:rsidP="008F69C3">
      <w:pPr>
        <w:ind w:firstLine="567"/>
        <w:jc w:val="both"/>
        <w:rPr>
          <w:lang w:val="uk-UA"/>
        </w:rPr>
      </w:pPr>
      <w:r w:rsidRPr="008F69C3">
        <w:rPr>
          <w:lang w:val="uk-UA"/>
        </w:rPr>
        <w:t xml:space="preserve"> Згідно з Програмою на реалізацію заходів у </w:t>
      </w:r>
      <w:r>
        <w:rPr>
          <w:lang w:val="uk-UA"/>
        </w:rPr>
        <w:t>2022-</w:t>
      </w:r>
      <w:r w:rsidRPr="008F69C3">
        <w:rPr>
          <w:lang w:val="uk-UA"/>
        </w:rPr>
        <w:t>2024 ро</w:t>
      </w:r>
      <w:r>
        <w:rPr>
          <w:lang w:val="uk-UA"/>
        </w:rPr>
        <w:t>ках</w:t>
      </w:r>
      <w:r w:rsidRPr="008F69C3">
        <w:rPr>
          <w:lang w:val="uk-UA"/>
        </w:rPr>
        <w:t xml:space="preserve"> передбачено обсяг фінансування за рахунок місцевого бюджету у сумі </w:t>
      </w:r>
      <w:r>
        <w:rPr>
          <w:lang w:val="uk-UA"/>
        </w:rPr>
        <w:t>117,5</w:t>
      </w:r>
      <w:r w:rsidRPr="008F69C3">
        <w:rPr>
          <w:lang w:val="uk-UA"/>
        </w:rPr>
        <w:t xml:space="preserve"> тис. грн, виділено з місцевого бюджету на </w:t>
      </w:r>
      <w:r>
        <w:rPr>
          <w:lang w:val="uk-UA"/>
        </w:rPr>
        <w:t>2022-</w:t>
      </w:r>
      <w:r w:rsidRPr="008F69C3">
        <w:rPr>
          <w:lang w:val="uk-UA"/>
        </w:rPr>
        <w:t xml:space="preserve">2024 рік </w:t>
      </w:r>
      <w:r>
        <w:rPr>
          <w:lang w:val="uk-UA"/>
        </w:rPr>
        <w:t>117,5</w:t>
      </w:r>
      <w:r w:rsidRPr="008F69C3">
        <w:rPr>
          <w:lang w:val="uk-UA"/>
        </w:rPr>
        <w:t xml:space="preserve"> </w:t>
      </w:r>
      <w:proofErr w:type="spellStart"/>
      <w:r w:rsidRPr="008F69C3">
        <w:rPr>
          <w:lang w:val="uk-UA"/>
        </w:rPr>
        <w:t>тис.грн</w:t>
      </w:r>
      <w:proofErr w:type="spellEnd"/>
      <w:r w:rsidRPr="008F69C3">
        <w:rPr>
          <w:lang w:val="uk-UA"/>
        </w:rPr>
        <w:t>.</w:t>
      </w:r>
    </w:p>
    <w:p w14:paraId="25323EF4" w14:textId="7948B37A" w:rsidR="008F69C3" w:rsidRPr="008F69C3" w:rsidRDefault="008F69C3" w:rsidP="008F69C3">
      <w:pPr>
        <w:ind w:firstLine="708"/>
        <w:jc w:val="both"/>
        <w:rPr>
          <w:lang w:val="uk-UA"/>
        </w:rPr>
      </w:pPr>
      <w:r w:rsidRPr="008F69C3">
        <w:rPr>
          <w:lang w:val="uk-UA"/>
        </w:rPr>
        <w:t xml:space="preserve">На виконання заходів Програми фактично використано за 2022 рік – </w:t>
      </w:r>
      <w:r w:rsidR="00430FC9">
        <w:rPr>
          <w:lang w:val="uk-UA"/>
        </w:rPr>
        <w:t>21,0</w:t>
      </w:r>
      <w:r w:rsidRPr="008F69C3">
        <w:rPr>
          <w:lang w:val="uk-UA"/>
        </w:rPr>
        <w:t xml:space="preserve"> </w:t>
      </w:r>
      <w:proofErr w:type="spellStart"/>
      <w:r w:rsidRPr="008F69C3">
        <w:rPr>
          <w:lang w:val="uk-UA"/>
        </w:rPr>
        <w:t>тис.грн</w:t>
      </w:r>
      <w:proofErr w:type="spellEnd"/>
      <w:r w:rsidRPr="008F69C3">
        <w:rPr>
          <w:lang w:val="uk-UA"/>
        </w:rPr>
        <w:t xml:space="preserve">, за 2023 рік – 0,0 </w:t>
      </w:r>
      <w:proofErr w:type="spellStart"/>
      <w:r w:rsidRPr="008F69C3">
        <w:rPr>
          <w:lang w:val="uk-UA"/>
        </w:rPr>
        <w:t>тис.грн</w:t>
      </w:r>
      <w:proofErr w:type="spellEnd"/>
      <w:r w:rsidRPr="008F69C3">
        <w:rPr>
          <w:lang w:val="uk-UA"/>
        </w:rPr>
        <w:t xml:space="preserve">, за 2024 рік - 5,6 </w:t>
      </w:r>
      <w:proofErr w:type="spellStart"/>
      <w:r w:rsidRPr="008F69C3">
        <w:rPr>
          <w:lang w:val="uk-UA"/>
        </w:rPr>
        <w:t>тис.грн</w:t>
      </w:r>
      <w:proofErr w:type="spellEnd"/>
      <w:r w:rsidRPr="008F69C3">
        <w:rPr>
          <w:lang w:val="uk-UA"/>
        </w:rPr>
        <w:t xml:space="preserve">. </w:t>
      </w:r>
    </w:p>
    <w:p w14:paraId="13A5D6EF" w14:textId="77777777" w:rsidR="008F69C3" w:rsidRDefault="008F69C3" w:rsidP="008F69C3">
      <w:pPr>
        <w:ind w:firstLine="709"/>
        <w:jc w:val="both"/>
        <w:rPr>
          <w:lang w:val="uk-UA"/>
        </w:rPr>
      </w:pPr>
      <w:bookmarkStart w:id="1" w:name="_Hlk160035017"/>
      <w:bookmarkEnd w:id="0"/>
    </w:p>
    <w:p w14:paraId="3A27593D" w14:textId="42231F77" w:rsidR="002B19F1" w:rsidRPr="002B19F1" w:rsidRDefault="002B19F1" w:rsidP="002B19F1">
      <w:pPr>
        <w:ind w:firstLine="708"/>
        <w:jc w:val="both"/>
        <w:rPr>
          <w:u w:val="single"/>
          <w:lang w:val="uk-UA" w:eastAsia="uk-UA"/>
        </w:rPr>
      </w:pPr>
      <w:r w:rsidRPr="002B19F1">
        <w:rPr>
          <w:lang w:val="uk-UA" w:eastAsia="uk-UA"/>
        </w:rPr>
        <w:t xml:space="preserve">На заходи та роботи з мобілізаційної підготовки місцевого значення  у 2022 році з місцевого бюджету профінансовано 21,0 </w:t>
      </w:r>
      <w:proofErr w:type="spellStart"/>
      <w:r w:rsidRPr="002B19F1">
        <w:rPr>
          <w:lang w:val="uk-UA" w:eastAsia="uk-UA"/>
        </w:rPr>
        <w:t>тис.грн</w:t>
      </w:r>
      <w:proofErr w:type="spellEnd"/>
      <w:r w:rsidRPr="002B19F1">
        <w:rPr>
          <w:lang w:val="uk-UA" w:eastAsia="uk-UA"/>
        </w:rPr>
        <w:t xml:space="preserve"> (заходи щодо призову та відправлення у війська військовозобов’язаних та резервістів у зв’язку з  мобілізацією 14 рейсів)</w:t>
      </w:r>
      <w:r>
        <w:rPr>
          <w:lang w:val="uk-UA" w:eastAsia="uk-UA"/>
        </w:rPr>
        <w:t>.</w:t>
      </w:r>
    </w:p>
    <w:p w14:paraId="57A24E00" w14:textId="77777777" w:rsidR="008F69C3" w:rsidRPr="002B19F1" w:rsidRDefault="008F69C3" w:rsidP="008F69C3">
      <w:pPr>
        <w:ind w:firstLine="709"/>
        <w:jc w:val="both"/>
        <w:rPr>
          <w:lang w:val="uk-UA"/>
        </w:rPr>
      </w:pPr>
    </w:p>
    <w:p w14:paraId="6F303F49" w14:textId="333CF807" w:rsidR="008F69C3" w:rsidRPr="008B053A" w:rsidRDefault="008F69C3" w:rsidP="008B053A">
      <w:pPr>
        <w:pStyle w:val="a3"/>
        <w:spacing w:before="0" w:beforeAutospacing="0" w:after="200" w:afterAutospacing="0" w:line="276" w:lineRule="auto"/>
        <w:ind w:firstLine="708"/>
        <w:contextualSpacing/>
        <w:jc w:val="both"/>
        <w:rPr>
          <w:b/>
          <w:bCs/>
        </w:rPr>
      </w:pPr>
      <w:r>
        <w:rPr>
          <w:b/>
          <w:bCs/>
        </w:rPr>
        <w:t xml:space="preserve">За  рахунок програмних коштів упродовж 2024 року  </w:t>
      </w:r>
      <w:r>
        <w:t>здійснено 2 рейси  з метою перевезень допризовників до Одеського обласного збірного пункту на суму 5,6 тис. грн.</w:t>
      </w:r>
      <w:bookmarkEnd w:id="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90"/>
        <w:gridCol w:w="1682"/>
        <w:gridCol w:w="1556"/>
        <w:gridCol w:w="1132"/>
        <w:gridCol w:w="856"/>
        <w:gridCol w:w="1843"/>
      </w:tblGrid>
      <w:tr w:rsidR="008F69C3" w:rsidRPr="00706696" w14:paraId="4EAFC91E" w14:textId="77777777" w:rsidTr="002B19F1">
        <w:tc>
          <w:tcPr>
            <w:tcW w:w="426" w:type="dxa"/>
            <w:tcBorders>
              <w:top w:val="single" w:sz="4" w:space="0" w:color="auto"/>
              <w:left w:val="single" w:sz="4" w:space="0" w:color="auto"/>
              <w:bottom w:val="single" w:sz="4" w:space="0" w:color="auto"/>
              <w:right w:val="single" w:sz="4" w:space="0" w:color="auto"/>
            </w:tcBorders>
            <w:hideMark/>
          </w:tcPr>
          <w:p w14:paraId="28F8CBEE" w14:textId="77777777" w:rsidR="008F69C3" w:rsidRPr="00706696" w:rsidRDefault="008F69C3" w:rsidP="00E13795">
            <w:pPr>
              <w:pStyle w:val="a3"/>
              <w:jc w:val="center"/>
              <w:rPr>
                <w:sz w:val="22"/>
                <w:szCs w:val="22"/>
              </w:rPr>
            </w:pPr>
            <w:r w:rsidRPr="00706696">
              <w:rPr>
                <w:bCs/>
                <w:sz w:val="22"/>
                <w:szCs w:val="22"/>
              </w:rPr>
              <w:t>№з/п</w:t>
            </w:r>
          </w:p>
        </w:tc>
        <w:tc>
          <w:tcPr>
            <w:tcW w:w="1890" w:type="dxa"/>
            <w:tcBorders>
              <w:top w:val="single" w:sz="4" w:space="0" w:color="auto"/>
              <w:left w:val="single" w:sz="4" w:space="0" w:color="auto"/>
              <w:bottom w:val="single" w:sz="4" w:space="0" w:color="auto"/>
              <w:right w:val="single" w:sz="4" w:space="0" w:color="auto"/>
            </w:tcBorders>
            <w:hideMark/>
          </w:tcPr>
          <w:p w14:paraId="6BB43F67" w14:textId="77777777" w:rsidR="008F69C3" w:rsidRPr="00706696" w:rsidRDefault="008F69C3" w:rsidP="00E13795">
            <w:pPr>
              <w:jc w:val="center"/>
              <w:rPr>
                <w:bCs/>
                <w:sz w:val="22"/>
                <w:szCs w:val="22"/>
                <w:lang w:val="uk-UA"/>
              </w:rPr>
            </w:pPr>
            <w:r w:rsidRPr="00706696">
              <w:rPr>
                <w:bCs/>
                <w:sz w:val="22"/>
                <w:szCs w:val="22"/>
                <w:lang w:val="uk-UA"/>
              </w:rPr>
              <w:t>Заходи</w:t>
            </w:r>
          </w:p>
        </w:tc>
        <w:tc>
          <w:tcPr>
            <w:tcW w:w="1682" w:type="dxa"/>
            <w:tcBorders>
              <w:top w:val="single" w:sz="4" w:space="0" w:color="auto"/>
              <w:left w:val="single" w:sz="4" w:space="0" w:color="auto"/>
              <w:bottom w:val="single" w:sz="4" w:space="0" w:color="auto"/>
              <w:right w:val="single" w:sz="4" w:space="0" w:color="auto"/>
            </w:tcBorders>
            <w:hideMark/>
          </w:tcPr>
          <w:p w14:paraId="7CF1395E" w14:textId="77777777" w:rsidR="008F69C3" w:rsidRPr="00706696" w:rsidRDefault="008F69C3" w:rsidP="00E13795">
            <w:pPr>
              <w:jc w:val="center"/>
              <w:rPr>
                <w:bCs/>
                <w:sz w:val="22"/>
                <w:szCs w:val="22"/>
                <w:lang w:val="uk-UA"/>
              </w:rPr>
            </w:pPr>
            <w:r w:rsidRPr="00706696">
              <w:rPr>
                <w:bCs/>
                <w:sz w:val="22"/>
                <w:szCs w:val="22"/>
                <w:lang w:val="uk-UA"/>
              </w:rPr>
              <w:t>Назва</w:t>
            </w:r>
          </w:p>
          <w:p w14:paraId="4D32BB2A" w14:textId="77777777" w:rsidR="008F69C3" w:rsidRPr="00706696" w:rsidRDefault="008F69C3" w:rsidP="00E13795">
            <w:pPr>
              <w:jc w:val="center"/>
              <w:rPr>
                <w:bCs/>
                <w:sz w:val="22"/>
                <w:szCs w:val="22"/>
                <w:lang w:val="uk-UA"/>
              </w:rPr>
            </w:pPr>
            <w:r w:rsidRPr="00706696">
              <w:rPr>
                <w:bCs/>
                <w:sz w:val="22"/>
                <w:szCs w:val="22"/>
                <w:lang w:val="uk-UA"/>
              </w:rPr>
              <w:t xml:space="preserve"> </w:t>
            </w:r>
            <w:r w:rsidRPr="00706696">
              <w:rPr>
                <w:sz w:val="22"/>
                <w:szCs w:val="22"/>
                <w:lang w:val="uk-UA"/>
              </w:rPr>
              <w:t>показників</w:t>
            </w:r>
          </w:p>
          <w:p w14:paraId="2E432961" w14:textId="77777777" w:rsidR="008F69C3" w:rsidRPr="00706696" w:rsidRDefault="008F69C3" w:rsidP="00E13795">
            <w:pPr>
              <w:jc w:val="center"/>
              <w:rPr>
                <w:bCs/>
                <w:sz w:val="22"/>
                <w:szCs w:val="22"/>
                <w:lang w:val="uk-UA"/>
              </w:rPr>
            </w:pPr>
            <w:r w:rsidRPr="00706696">
              <w:rPr>
                <w:bCs/>
                <w:sz w:val="22"/>
                <w:szCs w:val="22"/>
                <w:lang w:val="uk-UA"/>
              </w:rPr>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001A4275" w14:textId="2A79DF48" w:rsidR="008F69C3" w:rsidRPr="00706696" w:rsidRDefault="008F69C3" w:rsidP="002B19F1">
            <w:pPr>
              <w:pStyle w:val="a6"/>
              <w:jc w:val="center"/>
              <w:rPr>
                <w:rFonts w:ascii="Times New Roman" w:hAnsi="Times New Roman" w:cs="Times New Roman"/>
              </w:rPr>
            </w:pPr>
            <w:r w:rsidRPr="00706696">
              <w:rPr>
                <w:rFonts w:ascii="Times New Roman" w:hAnsi="Times New Roman" w:cs="Times New Roman"/>
              </w:rPr>
              <w:t>Затверджено міським бюджетом</w:t>
            </w:r>
          </w:p>
          <w:p w14:paraId="0A7421AD" w14:textId="77777777" w:rsidR="008F69C3" w:rsidRPr="00706696" w:rsidRDefault="008F69C3" w:rsidP="00E13795">
            <w:pPr>
              <w:pStyle w:val="a6"/>
              <w:jc w:val="center"/>
              <w:rPr>
                <w:rFonts w:ascii="Times New Roman" w:hAnsi="Times New Roman" w:cs="Times New Roman"/>
              </w:rPr>
            </w:pPr>
            <w:r w:rsidRPr="00706696">
              <w:rPr>
                <w:rFonts w:ascii="Times New Roman" w:hAnsi="Times New Roman" w:cs="Times New Roman"/>
              </w:rPr>
              <w:t>за звітний</w:t>
            </w:r>
          </w:p>
          <w:p w14:paraId="243CB2E8" w14:textId="77777777" w:rsidR="008F69C3" w:rsidRPr="00706696" w:rsidRDefault="008F69C3" w:rsidP="00E13795">
            <w:pPr>
              <w:pStyle w:val="a6"/>
              <w:jc w:val="center"/>
              <w:rPr>
                <w:rFonts w:ascii="Times New Roman" w:hAnsi="Times New Roman" w:cs="Times New Roman"/>
              </w:rPr>
            </w:pPr>
            <w:r w:rsidRPr="00706696">
              <w:rPr>
                <w:rFonts w:ascii="Times New Roman" w:hAnsi="Times New Roman" w:cs="Times New Roman"/>
              </w:rPr>
              <w:t>період</w:t>
            </w:r>
          </w:p>
          <w:p w14:paraId="47A833F4" w14:textId="77777777" w:rsidR="008F69C3" w:rsidRPr="00706696" w:rsidRDefault="008F69C3" w:rsidP="00E13795">
            <w:pPr>
              <w:pStyle w:val="a6"/>
              <w:jc w:val="center"/>
              <w:rPr>
                <w:b/>
              </w:rPr>
            </w:pPr>
            <w:r w:rsidRPr="00706696">
              <w:rPr>
                <w:rFonts w:ascii="Times New Roman" w:hAnsi="Times New Roman" w:cs="Times New Roman"/>
              </w:rPr>
              <w:t>(</w:t>
            </w:r>
            <w:proofErr w:type="spellStart"/>
            <w:r w:rsidRPr="00706696">
              <w:rPr>
                <w:rFonts w:ascii="Times New Roman" w:hAnsi="Times New Roman" w:cs="Times New Roman"/>
              </w:rPr>
              <w:t>тис.грн</w:t>
            </w:r>
            <w:proofErr w:type="spellEnd"/>
            <w:r w:rsidRPr="00706696">
              <w:rPr>
                <w:rFonts w:ascii="Times New Roman" w:hAnsi="Times New Roman" w:cs="Times New Roman"/>
              </w:rPr>
              <w:t>)</w:t>
            </w:r>
          </w:p>
        </w:tc>
        <w:tc>
          <w:tcPr>
            <w:tcW w:w="1132" w:type="dxa"/>
            <w:tcBorders>
              <w:top w:val="single" w:sz="4" w:space="0" w:color="auto"/>
              <w:left w:val="single" w:sz="4" w:space="0" w:color="auto"/>
              <w:bottom w:val="single" w:sz="4" w:space="0" w:color="auto"/>
              <w:right w:val="single" w:sz="4" w:space="0" w:color="auto"/>
            </w:tcBorders>
            <w:hideMark/>
          </w:tcPr>
          <w:p w14:paraId="1ADE05C0" w14:textId="77777777" w:rsidR="008F69C3" w:rsidRPr="00706696" w:rsidRDefault="008F69C3" w:rsidP="00E13795">
            <w:pPr>
              <w:jc w:val="center"/>
              <w:rPr>
                <w:sz w:val="22"/>
                <w:szCs w:val="22"/>
                <w:lang w:val="uk-UA"/>
              </w:rPr>
            </w:pPr>
            <w:proofErr w:type="spellStart"/>
            <w:r w:rsidRPr="00706696">
              <w:rPr>
                <w:sz w:val="22"/>
                <w:szCs w:val="22"/>
                <w:lang w:val="uk-UA"/>
              </w:rPr>
              <w:t>Викона</w:t>
            </w:r>
            <w:proofErr w:type="spellEnd"/>
            <w:r w:rsidRPr="00706696">
              <w:rPr>
                <w:sz w:val="22"/>
                <w:szCs w:val="22"/>
                <w:lang w:val="uk-UA"/>
              </w:rPr>
              <w:t xml:space="preserve">-но за звітний період </w:t>
            </w:r>
          </w:p>
          <w:p w14:paraId="528F5A56" w14:textId="77777777" w:rsidR="008F69C3" w:rsidRPr="00706696" w:rsidRDefault="008F69C3" w:rsidP="00E13795">
            <w:pPr>
              <w:jc w:val="center"/>
              <w:rPr>
                <w:sz w:val="22"/>
                <w:szCs w:val="22"/>
                <w:lang w:val="uk-UA"/>
              </w:rPr>
            </w:pPr>
            <w:r w:rsidRPr="00706696">
              <w:rPr>
                <w:sz w:val="22"/>
                <w:szCs w:val="22"/>
                <w:lang w:val="uk-UA"/>
              </w:rPr>
              <w:t>(касові видатки)</w:t>
            </w:r>
          </w:p>
          <w:p w14:paraId="608968EF" w14:textId="77777777" w:rsidR="008F69C3" w:rsidRPr="00706696" w:rsidRDefault="008F69C3" w:rsidP="00E13795">
            <w:pPr>
              <w:jc w:val="center"/>
              <w:rPr>
                <w:b/>
                <w:bCs/>
                <w:sz w:val="22"/>
                <w:szCs w:val="22"/>
                <w:lang w:val="uk-UA"/>
              </w:rPr>
            </w:pPr>
            <w:r w:rsidRPr="00706696">
              <w:rPr>
                <w:sz w:val="22"/>
                <w:szCs w:val="22"/>
                <w:lang w:val="uk-UA"/>
              </w:rPr>
              <w:t>(</w:t>
            </w:r>
            <w:proofErr w:type="spellStart"/>
            <w:r w:rsidRPr="00706696">
              <w:rPr>
                <w:sz w:val="22"/>
                <w:szCs w:val="22"/>
                <w:lang w:val="uk-UA"/>
              </w:rPr>
              <w:t>тис.грн</w:t>
            </w:r>
            <w:proofErr w:type="spellEnd"/>
            <w:r w:rsidRPr="00706696">
              <w:rPr>
                <w:sz w:val="22"/>
                <w:szCs w:val="22"/>
                <w:lang w:val="uk-UA"/>
              </w:rPr>
              <w:t>)</w:t>
            </w:r>
          </w:p>
        </w:tc>
        <w:tc>
          <w:tcPr>
            <w:tcW w:w="856" w:type="dxa"/>
            <w:tcBorders>
              <w:top w:val="single" w:sz="4" w:space="0" w:color="auto"/>
              <w:left w:val="single" w:sz="4" w:space="0" w:color="auto"/>
              <w:bottom w:val="single" w:sz="4" w:space="0" w:color="auto"/>
              <w:right w:val="single" w:sz="4" w:space="0" w:color="auto"/>
            </w:tcBorders>
            <w:hideMark/>
          </w:tcPr>
          <w:p w14:paraId="128B94E9" w14:textId="77777777" w:rsidR="008F69C3" w:rsidRPr="00706696" w:rsidRDefault="008F69C3" w:rsidP="00E13795">
            <w:pPr>
              <w:rPr>
                <w:sz w:val="22"/>
                <w:szCs w:val="22"/>
                <w:lang w:val="uk-UA"/>
              </w:rPr>
            </w:pPr>
            <w:r w:rsidRPr="00706696">
              <w:rPr>
                <w:sz w:val="22"/>
                <w:szCs w:val="22"/>
                <w:lang w:val="uk-UA"/>
              </w:rPr>
              <w:t>Зали-шок</w:t>
            </w:r>
          </w:p>
          <w:p w14:paraId="0FDC5A55" w14:textId="77777777" w:rsidR="008F69C3" w:rsidRPr="00706696" w:rsidRDefault="008F69C3" w:rsidP="00E13795">
            <w:pPr>
              <w:rPr>
                <w:sz w:val="22"/>
                <w:szCs w:val="22"/>
                <w:lang w:val="uk-UA"/>
              </w:rPr>
            </w:pPr>
            <w:r w:rsidRPr="00706696">
              <w:rPr>
                <w:sz w:val="22"/>
                <w:szCs w:val="22"/>
                <w:lang w:val="uk-UA"/>
              </w:rPr>
              <w:t>плану</w:t>
            </w:r>
          </w:p>
        </w:tc>
        <w:tc>
          <w:tcPr>
            <w:tcW w:w="1843" w:type="dxa"/>
            <w:tcBorders>
              <w:top w:val="single" w:sz="4" w:space="0" w:color="auto"/>
              <w:left w:val="single" w:sz="4" w:space="0" w:color="auto"/>
              <w:bottom w:val="single" w:sz="4" w:space="0" w:color="auto"/>
              <w:right w:val="single" w:sz="4" w:space="0" w:color="auto"/>
            </w:tcBorders>
            <w:hideMark/>
          </w:tcPr>
          <w:p w14:paraId="13821E63" w14:textId="77777777" w:rsidR="008F69C3" w:rsidRPr="00706696" w:rsidRDefault="008F69C3" w:rsidP="00E13795">
            <w:pPr>
              <w:jc w:val="center"/>
              <w:rPr>
                <w:bCs/>
                <w:sz w:val="22"/>
                <w:szCs w:val="22"/>
                <w:lang w:val="uk-UA"/>
              </w:rPr>
            </w:pPr>
            <w:r w:rsidRPr="00706696">
              <w:rPr>
                <w:bCs/>
                <w:sz w:val="22"/>
                <w:szCs w:val="22"/>
                <w:lang w:val="uk-UA"/>
              </w:rPr>
              <w:t xml:space="preserve">                     Отриманий результат</w:t>
            </w:r>
          </w:p>
          <w:p w14:paraId="01D47597" w14:textId="77777777" w:rsidR="008F69C3" w:rsidRPr="00706696" w:rsidRDefault="008F69C3" w:rsidP="00E13795">
            <w:pPr>
              <w:pStyle w:val="4"/>
              <w:rPr>
                <w:rStyle w:val="a4"/>
                <w:b w:val="0"/>
                <w:i w:val="0"/>
                <w:iCs w:val="0"/>
                <w:sz w:val="22"/>
                <w:szCs w:val="22"/>
                <w:lang w:val="uk-UA"/>
              </w:rPr>
            </w:pPr>
            <w:r w:rsidRPr="00706696">
              <w:rPr>
                <w:bCs w:val="0"/>
                <w:sz w:val="22"/>
                <w:szCs w:val="22"/>
                <w:lang w:val="uk-UA"/>
              </w:rPr>
              <w:t xml:space="preserve">                     </w:t>
            </w:r>
          </w:p>
        </w:tc>
      </w:tr>
      <w:tr w:rsidR="002B19F1" w:rsidRPr="00706696" w14:paraId="5FC91530" w14:textId="77777777" w:rsidTr="002B19F1">
        <w:trPr>
          <w:trHeight w:val="518"/>
        </w:trPr>
        <w:tc>
          <w:tcPr>
            <w:tcW w:w="426" w:type="dxa"/>
            <w:tcBorders>
              <w:top w:val="single" w:sz="4" w:space="0" w:color="auto"/>
              <w:left w:val="single" w:sz="4" w:space="0" w:color="auto"/>
              <w:bottom w:val="single" w:sz="4" w:space="0" w:color="auto"/>
              <w:right w:val="single" w:sz="4" w:space="0" w:color="auto"/>
            </w:tcBorders>
          </w:tcPr>
          <w:p w14:paraId="52983205" w14:textId="77777777" w:rsidR="002B19F1" w:rsidRPr="00706696" w:rsidRDefault="002B19F1" w:rsidP="00E13795">
            <w:pPr>
              <w:pStyle w:val="a3"/>
              <w:rPr>
                <w:bCs/>
                <w:sz w:val="22"/>
                <w:szCs w:val="22"/>
              </w:rPr>
            </w:pPr>
          </w:p>
        </w:tc>
        <w:tc>
          <w:tcPr>
            <w:tcW w:w="1890" w:type="dxa"/>
            <w:tcBorders>
              <w:top w:val="single" w:sz="4" w:space="0" w:color="auto"/>
              <w:left w:val="single" w:sz="4" w:space="0" w:color="auto"/>
              <w:bottom w:val="single" w:sz="4" w:space="0" w:color="auto"/>
              <w:right w:val="single" w:sz="4" w:space="0" w:color="auto"/>
            </w:tcBorders>
          </w:tcPr>
          <w:p w14:paraId="33C3DE7B" w14:textId="539B96C2" w:rsidR="002B19F1" w:rsidRPr="00706696" w:rsidRDefault="002B19F1" w:rsidP="00E13795">
            <w:pPr>
              <w:rPr>
                <w:sz w:val="22"/>
                <w:szCs w:val="22"/>
                <w:lang w:val="uk-UA"/>
              </w:rPr>
            </w:pPr>
            <w:r w:rsidRPr="00706696">
              <w:rPr>
                <w:sz w:val="22"/>
                <w:szCs w:val="22"/>
                <w:lang w:val="uk-UA" w:eastAsia="uk-UA"/>
              </w:rPr>
              <w:t>З</w:t>
            </w:r>
            <w:r w:rsidRPr="002B19F1">
              <w:rPr>
                <w:sz w:val="22"/>
                <w:szCs w:val="22"/>
                <w:lang w:val="uk-UA" w:eastAsia="uk-UA"/>
              </w:rPr>
              <w:t>аходи щодо призову та відправлення у війська військовозобов’язаних та резервістів</w:t>
            </w:r>
          </w:p>
        </w:tc>
        <w:tc>
          <w:tcPr>
            <w:tcW w:w="1682" w:type="dxa"/>
            <w:tcBorders>
              <w:top w:val="single" w:sz="4" w:space="0" w:color="auto"/>
              <w:left w:val="single" w:sz="4" w:space="0" w:color="auto"/>
              <w:bottom w:val="single" w:sz="4" w:space="0" w:color="auto"/>
              <w:right w:val="single" w:sz="4" w:space="0" w:color="auto"/>
            </w:tcBorders>
          </w:tcPr>
          <w:p w14:paraId="7C3AE767" w14:textId="61EB0CC4" w:rsidR="002B19F1" w:rsidRPr="00706696" w:rsidRDefault="002B19F1" w:rsidP="00E13795">
            <w:pPr>
              <w:jc w:val="center"/>
              <w:rPr>
                <w:bCs/>
                <w:sz w:val="22"/>
                <w:szCs w:val="22"/>
                <w:lang w:val="uk-UA"/>
              </w:rPr>
            </w:pPr>
            <w:r w:rsidRPr="00706696">
              <w:rPr>
                <w:bCs/>
                <w:sz w:val="22"/>
                <w:szCs w:val="22"/>
                <w:lang w:val="uk-UA"/>
              </w:rPr>
              <w:t xml:space="preserve">Перевезення  </w:t>
            </w:r>
            <w:proofErr w:type="spellStart"/>
            <w:r w:rsidRPr="00706696">
              <w:rPr>
                <w:bCs/>
                <w:sz w:val="22"/>
                <w:szCs w:val="22"/>
                <w:lang w:val="uk-UA"/>
              </w:rPr>
              <w:t>віськовослуж-бовців</w:t>
            </w:r>
            <w:proofErr w:type="spellEnd"/>
          </w:p>
        </w:tc>
        <w:tc>
          <w:tcPr>
            <w:tcW w:w="1556" w:type="dxa"/>
            <w:tcBorders>
              <w:top w:val="single" w:sz="4" w:space="0" w:color="auto"/>
              <w:left w:val="single" w:sz="4" w:space="0" w:color="auto"/>
              <w:bottom w:val="single" w:sz="4" w:space="0" w:color="auto"/>
              <w:right w:val="single" w:sz="4" w:space="0" w:color="auto"/>
            </w:tcBorders>
          </w:tcPr>
          <w:p w14:paraId="7ACC48A2" w14:textId="26FA8F8C" w:rsidR="002B19F1" w:rsidRPr="00706696" w:rsidRDefault="002B19F1" w:rsidP="00E13795">
            <w:pPr>
              <w:jc w:val="center"/>
              <w:rPr>
                <w:bCs/>
                <w:sz w:val="22"/>
                <w:szCs w:val="22"/>
                <w:lang w:val="uk-UA"/>
              </w:rPr>
            </w:pPr>
            <w:r w:rsidRPr="00706696">
              <w:rPr>
                <w:bCs/>
                <w:sz w:val="22"/>
                <w:szCs w:val="22"/>
                <w:lang w:val="uk-UA"/>
              </w:rPr>
              <w:t>99,5</w:t>
            </w:r>
          </w:p>
        </w:tc>
        <w:tc>
          <w:tcPr>
            <w:tcW w:w="1132" w:type="dxa"/>
            <w:tcBorders>
              <w:top w:val="single" w:sz="4" w:space="0" w:color="auto"/>
              <w:left w:val="single" w:sz="4" w:space="0" w:color="auto"/>
              <w:bottom w:val="single" w:sz="4" w:space="0" w:color="auto"/>
              <w:right w:val="single" w:sz="4" w:space="0" w:color="auto"/>
            </w:tcBorders>
          </w:tcPr>
          <w:p w14:paraId="0A0B768D" w14:textId="187524AE" w:rsidR="002B19F1" w:rsidRPr="00706696" w:rsidRDefault="002B19F1" w:rsidP="00E13795">
            <w:pPr>
              <w:jc w:val="center"/>
              <w:rPr>
                <w:sz w:val="22"/>
                <w:szCs w:val="22"/>
                <w:lang w:val="uk-UA"/>
              </w:rPr>
            </w:pPr>
            <w:r w:rsidRPr="00706696">
              <w:rPr>
                <w:sz w:val="22"/>
                <w:szCs w:val="22"/>
                <w:lang w:val="uk-UA"/>
              </w:rPr>
              <w:t>21,0</w:t>
            </w:r>
          </w:p>
        </w:tc>
        <w:tc>
          <w:tcPr>
            <w:tcW w:w="856" w:type="dxa"/>
            <w:tcBorders>
              <w:top w:val="single" w:sz="4" w:space="0" w:color="auto"/>
              <w:left w:val="single" w:sz="4" w:space="0" w:color="auto"/>
              <w:bottom w:val="single" w:sz="4" w:space="0" w:color="auto"/>
              <w:right w:val="single" w:sz="4" w:space="0" w:color="auto"/>
            </w:tcBorders>
          </w:tcPr>
          <w:p w14:paraId="74CFB0E6" w14:textId="172A9E34" w:rsidR="002B19F1" w:rsidRPr="00706696" w:rsidRDefault="002B19F1" w:rsidP="00E13795">
            <w:pPr>
              <w:jc w:val="center"/>
              <w:rPr>
                <w:sz w:val="22"/>
                <w:szCs w:val="22"/>
                <w:lang w:val="uk-UA"/>
              </w:rPr>
            </w:pPr>
            <w:r w:rsidRPr="00706696">
              <w:rPr>
                <w:sz w:val="22"/>
                <w:szCs w:val="22"/>
                <w:lang w:val="uk-UA"/>
              </w:rPr>
              <w:t>78,5</w:t>
            </w:r>
          </w:p>
        </w:tc>
        <w:tc>
          <w:tcPr>
            <w:tcW w:w="1843" w:type="dxa"/>
            <w:tcBorders>
              <w:top w:val="single" w:sz="4" w:space="0" w:color="auto"/>
              <w:left w:val="single" w:sz="4" w:space="0" w:color="auto"/>
              <w:bottom w:val="single" w:sz="4" w:space="0" w:color="auto"/>
              <w:right w:val="single" w:sz="4" w:space="0" w:color="auto"/>
            </w:tcBorders>
          </w:tcPr>
          <w:p w14:paraId="5EC251CD" w14:textId="572BF55F" w:rsidR="002B19F1" w:rsidRPr="00706696" w:rsidRDefault="002B19F1" w:rsidP="00E13795">
            <w:pPr>
              <w:jc w:val="center"/>
              <w:rPr>
                <w:iCs/>
                <w:sz w:val="22"/>
                <w:szCs w:val="22"/>
                <w:lang w:val="uk-UA"/>
              </w:rPr>
            </w:pPr>
            <w:r w:rsidRPr="00706696">
              <w:rPr>
                <w:bCs/>
                <w:iCs/>
                <w:sz w:val="22"/>
                <w:szCs w:val="22"/>
                <w:lang w:val="uk-UA" w:eastAsia="uk-UA"/>
              </w:rPr>
              <w:t xml:space="preserve">Заходи щодо призову та відправлення у війська </w:t>
            </w:r>
            <w:proofErr w:type="spellStart"/>
            <w:r w:rsidRPr="00706696">
              <w:rPr>
                <w:bCs/>
                <w:iCs/>
                <w:sz w:val="22"/>
                <w:szCs w:val="22"/>
                <w:lang w:val="uk-UA" w:eastAsia="uk-UA"/>
              </w:rPr>
              <w:t>військовозо-бов’язаних</w:t>
            </w:r>
            <w:proofErr w:type="spellEnd"/>
            <w:r w:rsidRPr="00706696">
              <w:rPr>
                <w:bCs/>
                <w:iCs/>
                <w:sz w:val="22"/>
                <w:szCs w:val="22"/>
                <w:lang w:val="uk-UA" w:eastAsia="uk-UA"/>
              </w:rPr>
              <w:t xml:space="preserve"> та резервістів виконані за потребою</w:t>
            </w:r>
          </w:p>
        </w:tc>
      </w:tr>
      <w:tr w:rsidR="008B053A" w:rsidRPr="00430FC9" w14:paraId="7CB13413" w14:textId="77777777" w:rsidTr="002B19F1">
        <w:trPr>
          <w:trHeight w:val="518"/>
        </w:trPr>
        <w:tc>
          <w:tcPr>
            <w:tcW w:w="426" w:type="dxa"/>
            <w:tcBorders>
              <w:top w:val="single" w:sz="4" w:space="0" w:color="auto"/>
              <w:left w:val="single" w:sz="4" w:space="0" w:color="auto"/>
              <w:bottom w:val="single" w:sz="4" w:space="0" w:color="auto"/>
              <w:right w:val="single" w:sz="4" w:space="0" w:color="auto"/>
            </w:tcBorders>
          </w:tcPr>
          <w:p w14:paraId="1DE79611" w14:textId="77777777" w:rsidR="008B053A" w:rsidRPr="00706696" w:rsidRDefault="008B053A" w:rsidP="00E13795">
            <w:pPr>
              <w:pStyle w:val="a3"/>
              <w:rPr>
                <w:bCs/>
                <w:sz w:val="22"/>
                <w:szCs w:val="22"/>
              </w:rPr>
            </w:pPr>
          </w:p>
        </w:tc>
        <w:tc>
          <w:tcPr>
            <w:tcW w:w="1890" w:type="dxa"/>
            <w:tcBorders>
              <w:top w:val="single" w:sz="4" w:space="0" w:color="auto"/>
              <w:left w:val="single" w:sz="4" w:space="0" w:color="auto"/>
              <w:bottom w:val="single" w:sz="4" w:space="0" w:color="auto"/>
              <w:right w:val="single" w:sz="4" w:space="0" w:color="auto"/>
            </w:tcBorders>
          </w:tcPr>
          <w:p w14:paraId="5874D81A" w14:textId="75734A88" w:rsidR="008B053A" w:rsidRPr="00706696" w:rsidRDefault="008B053A" w:rsidP="008B053A">
            <w:pPr>
              <w:jc w:val="both"/>
              <w:rPr>
                <w:sz w:val="22"/>
                <w:szCs w:val="22"/>
                <w:lang w:val="uk-UA"/>
              </w:rPr>
            </w:pPr>
            <w:r w:rsidRPr="00706696">
              <w:rPr>
                <w:color w:val="000000" w:themeColor="text1"/>
                <w:kern w:val="2"/>
                <w:sz w:val="22"/>
                <w:szCs w:val="22"/>
                <w:lang w:val="uk-UA"/>
                <w14:ligatures w14:val="standardContextual"/>
              </w:rPr>
              <w:t>Організація перевезення допризовників до Одеського обласного збірного пункту</w:t>
            </w:r>
            <w:r w:rsidRPr="00706696">
              <w:rPr>
                <w:sz w:val="22"/>
                <w:szCs w:val="22"/>
                <w:lang w:val="uk-UA"/>
              </w:rPr>
              <w:t xml:space="preserve"> </w:t>
            </w:r>
          </w:p>
        </w:tc>
        <w:tc>
          <w:tcPr>
            <w:tcW w:w="1682" w:type="dxa"/>
            <w:tcBorders>
              <w:top w:val="single" w:sz="4" w:space="0" w:color="auto"/>
              <w:left w:val="single" w:sz="4" w:space="0" w:color="auto"/>
              <w:bottom w:val="single" w:sz="4" w:space="0" w:color="auto"/>
              <w:right w:val="single" w:sz="4" w:space="0" w:color="auto"/>
            </w:tcBorders>
          </w:tcPr>
          <w:p w14:paraId="159333B1" w14:textId="29D2A294" w:rsidR="008B053A" w:rsidRPr="00706696" w:rsidRDefault="008B053A" w:rsidP="00E13795">
            <w:pPr>
              <w:jc w:val="center"/>
              <w:rPr>
                <w:bCs/>
                <w:sz w:val="22"/>
                <w:szCs w:val="22"/>
                <w:lang w:val="uk-UA"/>
              </w:rPr>
            </w:pPr>
            <w:r w:rsidRPr="00706696">
              <w:rPr>
                <w:sz w:val="22"/>
                <w:szCs w:val="22"/>
                <w:lang w:val="uk-UA"/>
              </w:rPr>
              <w:t>Перевезення допризовників до Одеського обласного збірного пункту</w:t>
            </w:r>
          </w:p>
        </w:tc>
        <w:tc>
          <w:tcPr>
            <w:tcW w:w="1556" w:type="dxa"/>
            <w:tcBorders>
              <w:top w:val="single" w:sz="4" w:space="0" w:color="auto"/>
              <w:left w:val="single" w:sz="4" w:space="0" w:color="auto"/>
              <w:bottom w:val="single" w:sz="4" w:space="0" w:color="auto"/>
              <w:right w:val="single" w:sz="4" w:space="0" w:color="auto"/>
            </w:tcBorders>
          </w:tcPr>
          <w:p w14:paraId="4B32C366" w14:textId="6A08AD57" w:rsidR="008B053A" w:rsidRPr="00706696" w:rsidRDefault="008B053A" w:rsidP="00E13795">
            <w:pPr>
              <w:jc w:val="center"/>
              <w:rPr>
                <w:bCs/>
                <w:sz w:val="22"/>
                <w:szCs w:val="22"/>
                <w:lang w:val="uk-UA"/>
              </w:rPr>
            </w:pPr>
            <w:r w:rsidRPr="00706696">
              <w:rPr>
                <w:bCs/>
                <w:sz w:val="22"/>
                <w:szCs w:val="22"/>
                <w:lang w:val="uk-UA"/>
              </w:rPr>
              <w:t>12,0</w:t>
            </w:r>
          </w:p>
        </w:tc>
        <w:tc>
          <w:tcPr>
            <w:tcW w:w="1132" w:type="dxa"/>
            <w:tcBorders>
              <w:top w:val="single" w:sz="4" w:space="0" w:color="auto"/>
              <w:left w:val="single" w:sz="4" w:space="0" w:color="auto"/>
              <w:bottom w:val="single" w:sz="4" w:space="0" w:color="auto"/>
              <w:right w:val="single" w:sz="4" w:space="0" w:color="auto"/>
            </w:tcBorders>
          </w:tcPr>
          <w:p w14:paraId="757EFF6F" w14:textId="6641E79A" w:rsidR="008B053A" w:rsidRPr="00706696" w:rsidRDefault="008B053A" w:rsidP="00E13795">
            <w:pPr>
              <w:jc w:val="center"/>
              <w:rPr>
                <w:sz w:val="22"/>
                <w:szCs w:val="22"/>
                <w:lang w:val="uk-UA"/>
              </w:rPr>
            </w:pPr>
            <w:r w:rsidRPr="00706696">
              <w:rPr>
                <w:sz w:val="22"/>
                <w:szCs w:val="22"/>
                <w:lang w:val="uk-UA"/>
              </w:rPr>
              <w:t>0,0</w:t>
            </w:r>
          </w:p>
        </w:tc>
        <w:tc>
          <w:tcPr>
            <w:tcW w:w="856" w:type="dxa"/>
            <w:tcBorders>
              <w:top w:val="single" w:sz="4" w:space="0" w:color="auto"/>
              <w:left w:val="single" w:sz="4" w:space="0" w:color="auto"/>
              <w:bottom w:val="single" w:sz="4" w:space="0" w:color="auto"/>
              <w:right w:val="single" w:sz="4" w:space="0" w:color="auto"/>
            </w:tcBorders>
          </w:tcPr>
          <w:p w14:paraId="241A4E4C" w14:textId="796112AB" w:rsidR="008B053A" w:rsidRPr="00706696" w:rsidRDefault="008B053A" w:rsidP="00E13795">
            <w:pPr>
              <w:jc w:val="center"/>
              <w:rPr>
                <w:sz w:val="22"/>
                <w:szCs w:val="22"/>
                <w:lang w:val="uk-UA"/>
              </w:rPr>
            </w:pPr>
            <w:r w:rsidRPr="00706696">
              <w:rPr>
                <w:sz w:val="22"/>
                <w:szCs w:val="22"/>
                <w:lang w:val="uk-UA"/>
              </w:rPr>
              <w:t>0,0</w:t>
            </w:r>
          </w:p>
        </w:tc>
        <w:tc>
          <w:tcPr>
            <w:tcW w:w="1843" w:type="dxa"/>
            <w:tcBorders>
              <w:top w:val="single" w:sz="4" w:space="0" w:color="auto"/>
              <w:left w:val="single" w:sz="4" w:space="0" w:color="auto"/>
              <w:bottom w:val="single" w:sz="4" w:space="0" w:color="auto"/>
              <w:right w:val="single" w:sz="4" w:space="0" w:color="auto"/>
            </w:tcBorders>
          </w:tcPr>
          <w:p w14:paraId="0B41CD1C" w14:textId="0331932F" w:rsidR="008B053A" w:rsidRPr="00706696" w:rsidRDefault="008B053A" w:rsidP="00B37C56">
            <w:pPr>
              <w:jc w:val="center"/>
              <w:rPr>
                <w:sz w:val="22"/>
                <w:szCs w:val="22"/>
                <w:lang w:val="uk-UA"/>
              </w:rPr>
            </w:pPr>
            <w:r w:rsidRPr="00706696">
              <w:rPr>
                <w:sz w:val="22"/>
                <w:szCs w:val="22"/>
                <w:lang w:val="uk-UA"/>
              </w:rPr>
              <w:t xml:space="preserve">У зв'язку з військовою агресією Російської  Федерації проти України та </w:t>
            </w:r>
            <w:r w:rsidRPr="00706696">
              <w:rPr>
                <w:sz w:val="22"/>
                <w:szCs w:val="22"/>
                <w:lang w:val="uk-UA"/>
              </w:rPr>
              <w:lastRenderedPageBreak/>
              <w:t xml:space="preserve">введенням воєнного стану більшість юнаків виїхало за кордон, тому заплановані заходи не були здійснені, залишок коштів склав 12,0 </w:t>
            </w:r>
            <w:proofErr w:type="spellStart"/>
            <w:r w:rsidRPr="00706696">
              <w:rPr>
                <w:sz w:val="22"/>
                <w:szCs w:val="22"/>
                <w:lang w:val="uk-UA"/>
              </w:rPr>
              <w:t>тис.грн</w:t>
            </w:r>
            <w:proofErr w:type="spellEnd"/>
            <w:r w:rsidRPr="00706696">
              <w:rPr>
                <w:sz w:val="22"/>
                <w:szCs w:val="22"/>
                <w:lang w:val="uk-UA"/>
              </w:rPr>
              <w:t>.</w:t>
            </w:r>
          </w:p>
          <w:p w14:paraId="203A6E96" w14:textId="64FAF97B" w:rsidR="008B053A" w:rsidRPr="00706696" w:rsidRDefault="008B053A" w:rsidP="00E13795">
            <w:pPr>
              <w:jc w:val="center"/>
              <w:rPr>
                <w:sz w:val="22"/>
                <w:szCs w:val="22"/>
                <w:lang w:val="uk-UA"/>
              </w:rPr>
            </w:pPr>
          </w:p>
        </w:tc>
      </w:tr>
      <w:tr w:rsidR="008F69C3" w:rsidRPr="00706696" w14:paraId="447C59EF" w14:textId="77777777" w:rsidTr="002B19F1">
        <w:trPr>
          <w:trHeight w:val="518"/>
        </w:trPr>
        <w:tc>
          <w:tcPr>
            <w:tcW w:w="426" w:type="dxa"/>
            <w:tcBorders>
              <w:top w:val="single" w:sz="4" w:space="0" w:color="auto"/>
              <w:left w:val="single" w:sz="4" w:space="0" w:color="auto"/>
              <w:bottom w:val="single" w:sz="4" w:space="0" w:color="auto"/>
              <w:right w:val="single" w:sz="4" w:space="0" w:color="auto"/>
            </w:tcBorders>
            <w:hideMark/>
          </w:tcPr>
          <w:p w14:paraId="48C364A2" w14:textId="77777777" w:rsidR="008F69C3" w:rsidRPr="00706696" w:rsidRDefault="008F69C3" w:rsidP="00E13795">
            <w:pPr>
              <w:pStyle w:val="a3"/>
              <w:rPr>
                <w:bCs/>
                <w:sz w:val="22"/>
                <w:szCs w:val="22"/>
              </w:rPr>
            </w:pPr>
            <w:r w:rsidRPr="00706696">
              <w:rPr>
                <w:bCs/>
                <w:sz w:val="22"/>
                <w:szCs w:val="22"/>
              </w:rPr>
              <w:lastRenderedPageBreak/>
              <w:t>1.</w:t>
            </w:r>
          </w:p>
        </w:tc>
        <w:tc>
          <w:tcPr>
            <w:tcW w:w="1890" w:type="dxa"/>
            <w:tcBorders>
              <w:top w:val="single" w:sz="4" w:space="0" w:color="auto"/>
              <w:left w:val="single" w:sz="4" w:space="0" w:color="auto"/>
              <w:bottom w:val="single" w:sz="4" w:space="0" w:color="auto"/>
              <w:right w:val="single" w:sz="4" w:space="0" w:color="auto"/>
            </w:tcBorders>
            <w:hideMark/>
          </w:tcPr>
          <w:p w14:paraId="0AF87871" w14:textId="77777777" w:rsidR="008F69C3" w:rsidRPr="00706696" w:rsidRDefault="008F69C3" w:rsidP="00E13795">
            <w:pPr>
              <w:rPr>
                <w:sz w:val="22"/>
                <w:szCs w:val="22"/>
                <w:lang w:val="uk-UA"/>
              </w:rPr>
            </w:pPr>
            <w:r w:rsidRPr="00706696">
              <w:rPr>
                <w:sz w:val="22"/>
                <w:szCs w:val="22"/>
                <w:lang w:val="uk-UA"/>
              </w:rPr>
              <w:t>Перевезення допризовників до Одеського обласного збірного пункту</w:t>
            </w:r>
          </w:p>
        </w:tc>
        <w:tc>
          <w:tcPr>
            <w:tcW w:w="1682" w:type="dxa"/>
            <w:tcBorders>
              <w:top w:val="single" w:sz="4" w:space="0" w:color="auto"/>
              <w:left w:val="single" w:sz="4" w:space="0" w:color="auto"/>
              <w:bottom w:val="single" w:sz="4" w:space="0" w:color="auto"/>
              <w:right w:val="single" w:sz="4" w:space="0" w:color="auto"/>
            </w:tcBorders>
            <w:hideMark/>
          </w:tcPr>
          <w:p w14:paraId="79313581" w14:textId="77777777" w:rsidR="008F69C3" w:rsidRPr="00706696" w:rsidRDefault="008F69C3" w:rsidP="00E13795">
            <w:pPr>
              <w:jc w:val="center"/>
              <w:rPr>
                <w:bCs/>
                <w:sz w:val="22"/>
                <w:szCs w:val="22"/>
                <w:lang w:val="uk-UA"/>
              </w:rPr>
            </w:pPr>
            <w:r w:rsidRPr="00706696">
              <w:rPr>
                <w:bCs/>
                <w:sz w:val="22"/>
                <w:szCs w:val="22"/>
                <w:lang w:val="uk-UA"/>
              </w:rPr>
              <w:t xml:space="preserve">Поставка </w:t>
            </w:r>
          </w:p>
          <w:p w14:paraId="6FDE8761" w14:textId="77777777" w:rsidR="008F69C3" w:rsidRPr="00706696" w:rsidRDefault="008F69C3" w:rsidP="00E13795">
            <w:pPr>
              <w:jc w:val="center"/>
              <w:rPr>
                <w:bCs/>
                <w:sz w:val="22"/>
                <w:szCs w:val="22"/>
                <w:lang w:val="uk-UA"/>
              </w:rPr>
            </w:pPr>
            <w:r w:rsidRPr="00706696">
              <w:rPr>
                <w:bCs/>
                <w:sz w:val="22"/>
                <w:szCs w:val="22"/>
                <w:lang w:val="uk-UA"/>
              </w:rPr>
              <w:t>допризовників</w:t>
            </w:r>
          </w:p>
        </w:tc>
        <w:tc>
          <w:tcPr>
            <w:tcW w:w="1556" w:type="dxa"/>
            <w:tcBorders>
              <w:top w:val="single" w:sz="4" w:space="0" w:color="auto"/>
              <w:left w:val="single" w:sz="4" w:space="0" w:color="auto"/>
              <w:bottom w:val="single" w:sz="4" w:space="0" w:color="auto"/>
              <w:right w:val="single" w:sz="4" w:space="0" w:color="auto"/>
            </w:tcBorders>
          </w:tcPr>
          <w:p w14:paraId="46FC7545" w14:textId="77777777" w:rsidR="008F69C3" w:rsidRPr="00706696" w:rsidRDefault="008F69C3" w:rsidP="00E13795">
            <w:pPr>
              <w:jc w:val="center"/>
              <w:rPr>
                <w:bCs/>
                <w:sz w:val="22"/>
                <w:szCs w:val="22"/>
                <w:lang w:val="uk-UA"/>
              </w:rPr>
            </w:pPr>
            <w:r w:rsidRPr="00706696">
              <w:rPr>
                <w:bCs/>
                <w:sz w:val="22"/>
                <w:szCs w:val="22"/>
                <w:lang w:val="uk-UA"/>
              </w:rPr>
              <w:t>6,0</w:t>
            </w:r>
          </w:p>
          <w:p w14:paraId="5E2BBA98" w14:textId="77777777" w:rsidR="008F69C3" w:rsidRPr="00706696" w:rsidRDefault="008F69C3" w:rsidP="00E13795">
            <w:pPr>
              <w:jc w:val="center"/>
              <w:rPr>
                <w:bCs/>
                <w:sz w:val="22"/>
                <w:szCs w:val="22"/>
                <w:lang w:val="uk-UA"/>
              </w:rPr>
            </w:pPr>
          </w:p>
        </w:tc>
        <w:tc>
          <w:tcPr>
            <w:tcW w:w="1132" w:type="dxa"/>
            <w:tcBorders>
              <w:top w:val="single" w:sz="4" w:space="0" w:color="auto"/>
              <w:left w:val="single" w:sz="4" w:space="0" w:color="auto"/>
              <w:bottom w:val="single" w:sz="4" w:space="0" w:color="auto"/>
              <w:right w:val="single" w:sz="4" w:space="0" w:color="auto"/>
            </w:tcBorders>
            <w:hideMark/>
          </w:tcPr>
          <w:p w14:paraId="4EA253F3" w14:textId="77777777" w:rsidR="008F69C3" w:rsidRPr="00706696" w:rsidRDefault="008F69C3" w:rsidP="00E13795">
            <w:pPr>
              <w:jc w:val="center"/>
              <w:rPr>
                <w:sz w:val="22"/>
                <w:szCs w:val="22"/>
                <w:lang w:val="uk-UA"/>
              </w:rPr>
            </w:pPr>
            <w:r w:rsidRPr="00706696">
              <w:rPr>
                <w:sz w:val="22"/>
                <w:szCs w:val="22"/>
                <w:lang w:val="uk-UA"/>
              </w:rPr>
              <w:t>5,6</w:t>
            </w:r>
          </w:p>
        </w:tc>
        <w:tc>
          <w:tcPr>
            <w:tcW w:w="856" w:type="dxa"/>
            <w:tcBorders>
              <w:top w:val="single" w:sz="4" w:space="0" w:color="auto"/>
              <w:left w:val="single" w:sz="4" w:space="0" w:color="auto"/>
              <w:bottom w:val="single" w:sz="4" w:space="0" w:color="auto"/>
              <w:right w:val="single" w:sz="4" w:space="0" w:color="auto"/>
            </w:tcBorders>
            <w:hideMark/>
          </w:tcPr>
          <w:p w14:paraId="447B7F59" w14:textId="77777777" w:rsidR="008F69C3" w:rsidRPr="00706696" w:rsidRDefault="008F69C3" w:rsidP="00E13795">
            <w:pPr>
              <w:jc w:val="center"/>
              <w:rPr>
                <w:sz w:val="22"/>
                <w:szCs w:val="22"/>
                <w:lang w:val="uk-UA"/>
              </w:rPr>
            </w:pPr>
            <w:r w:rsidRPr="00706696">
              <w:rPr>
                <w:sz w:val="22"/>
                <w:szCs w:val="22"/>
                <w:lang w:val="uk-UA"/>
              </w:rPr>
              <w:t>0,4</w:t>
            </w:r>
          </w:p>
        </w:tc>
        <w:tc>
          <w:tcPr>
            <w:tcW w:w="1843" w:type="dxa"/>
            <w:tcBorders>
              <w:top w:val="single" w:sz="4" w:space="0" w:color="auto"/>
              <w:left w:val="single" w:sz="4" w:space="0" w:color="auto"/>
              <w:bottom w:val="single" w:sz="4" w:space="0" w:color="auto"/>
              <w:right w:val="single" w:sz="4" w:space="0" w:color="auto"/>
            </w:tcBorders>
          </w:tcPr>
          <w:p w14:paraId="50D14CA7" w14:textId="77777777" w:rsidR="008F69C3" w:rsidRPr="00706696" w:rsidRDefault="008F69C3" w:rsidP="00E13795">
            <w:pPr>
              <w:jc w:val="center"/>
              <w:rPr>
                <w:sz w:val="22"/>
                <w:szCs w:val="22"/>
                <w:lang w:val="uk-UA"/>
              </w:rPr>
            </w:pPr>
            <w:r w:rsidRPr="00706696">
              <w:rPr>
                <w:sz w:val="22"/>
                <w:szCs w:val="22"/>
                <w:lang w:val="uk-UA"/>
              </w:rPr>
              <w:t>Допризовники  були доставлені до пункту призначення.</w:t>
            </w:r>
          </w:p>
          <w:p w14:paraId="08767BE9" w14:textId="77777777" w:rsidR="008F69C3" w:rsidRPr="00706696" w:rsidRDefault="008F69C3" w:rsidP="00E13795">
            <w:pPr>
              <w:jc w:val="center"/>
              <w:rPr>
                <w:bCs/>
                <w:sz w:val="22"/>
                <w:szCs w:val="22"/>
                <w:lang w:val="uk-UA"/>
              </w:rPr>
            </w:pPr>
          </w:p>
        </w:tc>
      </w:tr>
      <w:tr w:rsidR="008F69C3" w:rsidRPr="00706696" w14:paraId="57566A9A" w14:textId="77777777" w:rsidTr="002B19F1">
        <w:trPr>
          <w:trHeight w:val="151"/>
        </w:trPr>
        <w:tc>
          <w:tcPr>
            <w:tcW w:w="426" w:type="dxa"/>
            <w:tcBorders>
              <w:top w:val="single" w:sz="4" w:space="0" w:color="auto"/>
              <w:left w:val="single" w:sz="4" w:space="0" w:color="auto"/>
              <w:bottom w:val="single" w:sz="4" w:space="0" w:color="auto"/>
              <w:right w:val="single" w:sz="4" w:space="0" w:color="auto"/>
            </w:tcBorders>
          </w:tcPr>
          <w:p w14:paraId="7192F9D1" w14:textId="77777777" w:rsidR="008F69C3" w:rsidRPr="00706696" w:rsidRDefault="008F69C3" w:rsidP="00E13795">
            <w:pPr>
              <w:pStyle w:val="a3"/>
              <w:jc w:val="center"/>
              <w:rPr>
                <w:bCs/>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2E86B885" w14:textId="77777777" w:rsidR="008F69C3" w:rsidRPr="00706696" w:rsidRDefault="008F69C3" w:rsidP="00E13795">
            <w:pPr>
              <w:rPr>
                <w:sz w:val="22"/>
                <w:szCs w:val="22"/>
                <w:lang w:val="uk-UA"/>
              </w:rPr>
            </w:pPr>
            <w:r w:rsidRPr="00706696">
              <w:rPr>
                <w:b/>
                <w:bCs/>
                <w:sz w:val="22"/>
                <w:szCs w:val="22"/>
                <w:lang w:val="uk-UA"/>
              </w:rPr>
              <w:t>Усього:</w:t>
            </w:r>
          </w:p>
        </w:tc>
        <w:tc>
          <w:tcPr>
            <w:tcW w:w="1682" w:type="dxa"/>
            <w:tcBorders>
              <w:top w:val="single" w:sz="4" w:space="0" w:color="auto"/>
              <w:left w:val="single" w:sz="4" w:space="0" w:color="auto"/>
              <w:bottom w:val="single" w:sz="4" w:space="0" w:color="auto"/>
              <w:right w:val="single" w:sz="4" w:space="0" w:color="auto"/>
            </w:tcBorders>
          </w:tcPr>
          <w:p w14:paraId="016187E2" w14:textId="77777777" w:rsidR="008F69C3" w:rsidRPr="00706696" w:rsidRDefault="008F69C3" w:rsidP="00E13795">
            <w:pPr>
              <w:jc w:val="center"/>
              <w:rPr>
                <w:bCs/>
                <w:sz w:val="22"/>
                <w:szCs w:val="22"/>
                <w:lang w:val="uk-UA"/>
              </w:rPr>
            </w:pPr>
          </w:p>
        </w:tc>
        <w:tc>
          <w:tcPr>
            <w:tcW w:w="1556" w:type="dxa"/>
            <w:tcBorders>
              <w:top w:val="single" w:sz="4" w:space="0" w:color="auto"/>
              <w:left w:val="single" w:sz="4" w:space="0" w:color="auto"/>
              <w:bottom w:val="single" w:sz="4" w:space="0" w:color="auto"/>
              <w:right w:val="single" w:sz="4" w:space="0" w:color="auto"/>
            </w:tcBorders>
            <w:hideMark/>
          </w:tcPr>
          <w:p w14:paraId="15A69A1C" w14:textId="644FAB13" w:rsidR="008F69C3" w:rsidRPr="00706696" w:rsidRDefault="00B37C56" w:rsidP="00E13795">
            <w:pPr>
              <w:jc w:val="center"/>
              <w:rPr>
                <w:b/>
                <w:sz w:val="22"/>
                <w:szCs w:val="22"/>
                <w:lang w:val="uk-UA"/>
              </w:rPr>
            </w:pPr>
            <w:r w:rsidRPr="00706696">
              <w:rPr>
                <w:b/>
                <w:sz w:val="22"/>
                <w:szCs w:val="22"/>
                <w:lang w:val="uk-UA"/>
              </w:rPr>
              <w:t>117,5</w:t>
            </w:r>
          </w:p>
        </w:tc>
        <w:tc>
          <w:tcPr>
            <w:tcW w:w="1132" w:type="dxa"/>
            <w:tcBorders>
              <w:top w:val="single" w:sz="4" w:space="0" w:color="auto"/>
              <w:left w:val="single" w:sz="4" w:space="0" w:color="auto"/>
              <w:bottom w:val="single" w:sz="4" w:space="0" w:color="auto"/>
              <w:right w:val="single" w:sz="4" w:space="0" w:color="auto"/>
            </w:tcBorders>
            <w:hideMark/>
          </w:tcPr>
          <w:p w14:paraId="3372CFB5" w14:textId="12E59C57" w:rsidR="008F69C3" w:rsidRPr="00706696" w:rsidRDefault="00B37C56" w:rsidP="00E13795">
            <w:pPr>
              <w:jc w:val="center"/>
              <w:rPr>
                <w:b/>
                <w:bCs/>
                <w:sz w:val="22"/>
                <w:szCs w:val="22"/>
                <w:lang w:val="uk-UA"/>
              </w:rPr>
            </w:pPr>
            <w:r w:rsidRPr="00706696">
              <w:rPr>
                <w:b/>
                <w:bCs/>
                <w:sz w:val="22"/>
                <w:szCs w:val="22"/>
                <w:lang w:val="uk-UA"/>
              </w:rPr>
              <w:t>26,6</w:t>
            </w:r>
          </w:p>
        </w:tc>
        <w:tc>
          <w:tcPr>
            <w:tcW w:w="856" w:type="dxa"/>
            <w:tcBorders>
              <w:top w:val="single" w:sz="4" w:space="0" w:color="auto"/>
              <w:left w:val="single" w:sz="4" w:space="0" w:color="auto"/>
              <w:bottom w:val="single" w:sz="4" w:space="0" w:color="auto"/>
              <w:right w:val="single" w:sz="4" w:space="0" w:color="auto"/>
            </w:tcBorders>
            <w:hideMark/>
          </w:tcPr>
          <w:p w14:paraId="5697262F" w14:textId="73CFD162" w:rsidR="008F69C3" w:rsidRPr="00706696" w:rsidRDefault="00B37C56" w:rsidP="00E13795">
            <w:pPr>
              <w:jc w:val="center"/>
              <w:rPr>
                <w:b/>
                <w:bCs/>
                <w:sz w:val="22"/>
                <w:szCs w:val="22"/>
                <w:lang w:val="uk-UA"/>
              </w:rPr>
            </w:pPr>
            <w:r w:rsidRPr="00706696">
              <w:rPr>
                <w:b/>
                <w:bCs/>
                <w:color w:val="000000" w:themeColor="text1"/>
                <w:kern w:val="2"/>
                <w:sz w:val="22"/>
                <w:szCs w:val="22"/>
                <w:lang w:val="uk-UA"/>
                <w14:ligatures w14:val="standardContextual"/>
              </w:rPr>
              <w:t>78,9</w:t>
            </w:r>
          </w:p>
        </w:tc>
        <w:tc>
          <w:tcPr>
            <w:tcW w:w="1843" w:type="dxa"/>
            <w:tcBorders>
              <w:top w:val="single" w:sz="4" w:space="0" w:color="auto"/>
              <w:left w:val="single" w:sz="4" w:space="0" w:color="auto"/>
              <w:bottom w:val="single" w:sz="4" w:space="0" w:color="auto"/>
              <w:right w:val="single" w:sz="4" w:space="0" w:color="auto"/>
            </w:tcBorders>
          </w:tcPr>
          <w:p w14:paraId="7FA0CFF2" w14:textId="77777777" w:rsidR="008F69C3" w:rsidRPr="00706696" w:rsidRDefault="008F69C3" w:rsidP="00E13795">
            <w:pPr>
              <w:jc w:val="center"/>
              <w:rPr>
                <w:bCs/>
                <w:sz w:val="22"/>
                <w:szCs w:val="22"/>
                <w:lang w:val="uk-UA"/>
              </w:rPr>
            </w:pPr>
          </w:p>
        </w:tc>
      </w:tr>
    </w:tbl>
    <w:p w14:paraId="2944812B" w14:textId="77777777" w:rsidR="008F69C3" w:rsidRPr="00706696" w:rsidRDefault="008F69C3" w:rsidP="008F69C3">
      <w:pPr>
        <w:jc w:val="both"/>
        <w:rPr>
          <w:lang w:val="uk-UA"/>
        </w:rPr>
      </w:pPr>
    </w:p>
    <w:p w14:paraId="166FCAE6" w14:textId="77777777" w:rsidR="009C5978" w:rsidRPr="00706696" w:rsidRDefault="009C5978" w:rsidP="009C5978">
      <w:pPr>
        <w:ind w:firstLine="760"/>
        <w:jc w:val="both"/>
        <w:rPr>
          <w:rFonts w:eastAsia="Arial"/>
          <w:b/>
          <w:bCs/>
          <w:color w:val="000000" w:themeColor="text1"/>
          <w:lang w:val="uk-UA"/>
        </w:rPr>
      </w:pPr>
    </w:p>
    <w:p w14:paraId="59C7A528" w14:textId="7F236CC4" w:rsidR="009C5978" w:rsidRDefault="00584ED7" w:rsidP="009C5978">
      <w:pPr>
        <w:jc w:val="both"/>
        <w:rPr>
          <w:rFonts w:eastAsia="Arial"/>
          <w:color w:val="000000" w:themeColor="text1"/>
          <w:sz w:val="22"/>
          <w:szCs w:val="22"/>
        </w:rPr>
      </w:pPr>
      <w:r>
        <w:rPr>
          <w:rFonts w:eastAsia="Arial"/>
          <w:color w:val="000000" w:themeColor="text1"/>
          <w:sz w:val="22"/>
          <w:szCs w:val="22"/>
          <w:lang w:val="uk-UA"/>
        </w:rPr>
        <w:t xml:space="preserve"> </w:t>
      </w:r>
      <w:proofErr w:type="spellStart"/>
      <w:r w:rsidR="009C5978">
        <w:rPr>
          <w:rFonts w:eastAsia="Arial"/>
          <w:color w:val="000000" w:themeColor="text1"/>
          <w:sz w:val="22"/>
          <w:szCs w:val="22"/>
        </w:rPr>
        <w:t>Виконавець</w:t>
      </w:r>
      <w:proofErr w:type="spellEnd"/>
      <w:r w:rsidR="009C5978">
        <w:rPr>
          <w:rFonts w:eastAsia="Arial"/>
          <w:color w:val="000000" w:themeColor="text1"/>
          <w:sz w:val="22"/>
          <w:szCs w:val="22"/>
        </w:rPr>
        <w:t>: Валентина Кравченко</w:t>
      </w:r>
    </w:p>
    <w:sectPr w:rsidR="009C5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F015A"/>
    <w:multiLevelType w:val="hybridMultilevel"/>
    <w:tmpl w:val="E7F64908"/>
    <w:lvl w:ilvl="0" w:tplc="EAE87E4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772344C0"/>
    <w:multiLevelType w:val="hybridMultilevel"/>
    <w:tmpl w:val="6CC4FF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876628351">
    <w:abstractNumId w:val="0"/>
  </w:num>
  <w:num w:numId="2" w16cid:durableId="156116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24"/>
    <w:rsid w:val="002A1724"/>
    <w:rsid w:val="002B19F1"/>
    <w:rsid w:val="00430FC9"/>
    <w:rsid w:val="004574E0"/>
    <w:rsid w:val="00584ED7"/>
    <w:rsid w:val="00706696"/>
    <w:rsid w:val="00764F9E"/>
    <w:rsid w:val="008B053A"/>
    <w:rsid w:val="008F69C3"/>
    <w:rsid w:val="009C5978"/>
    <w:rsid w:val="009F292C"/>
    <w:rsid w:val="00B046B8"/>
    <w:rsid w:val="00B37C56"/>
    <w:rsid w:val="00BF4DC3"/>
    <w:rsid w:val="00CB74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7EA3"/>
  <w15:chartTrackingRefBased/>
  <w15:docId w15:val="{94115D2E-B43E-4C84-AB1D-C2C73325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6B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046B8"/>
    <w:pPr>
      <w:keepNext/>
      <w:jc w:val="center"/>
      <w:outlineLvl w:val="0"/>
    </w:pPr>
    <w:rPr>
      <w:b/>
      <w:bCs/>
      <w:lang w:val="uk-UA"/>
    </w:rPr>
  </w:style>
  <w:style w:type="paragraph" w:styleId="4">
    <w:name w:val="heading 4"/>
    <w:basedOn w:val="a"/>
    <w:next w:val="a"/>
    <w:link w:val="40"/>
    <w:semiHidden/>
    <w:unhideWhenUsed/>
    <w:qFormat/>
    <w:rsid w:val="00B046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46B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B046B8"/>
    <w:rPr>
      <w:rFonts w:ascii="Times New Roman" w:eastAsia="Times New Roman" w:hAnsi="Times New Roman" w:cs="Times New Roman"/>
      <w:b/>
      <w:bCs/>
      <w:sz w:val="28"/>
      <w:szCs w:val="28"/>
      <w:lang w:val="ru-RU" w:eastAsia="ru-RU"/>
    </w:rPr>
  </w:style>
  <w:style w:type="paragraph" w:styleId="a3">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B046B8"/>
    <w:pPr>
      <w:spacing w:before="100" w:beforeAutospacing="1" w:after="100" w:afterAutospacing="1"/>
    </w:pPr>
    <w:rPr>
      <w:lang w:val="uk-UA" w:eastAsia="uk-UA"/>
    </w:rPr>
  </w:style>
  <w:style w:type="character" w:styleId="a4">
    <w:name w:val="Emphasis"/>
    <w:basedOn w:val="a0"/>
    <w:qFormat/>
    <w:rsid w:val="00B046B8"/>
    <w:rPr>
      <w:i/>
      <w:iCs/>
    </w:rPr>
  </w:style>
  <w:style w:type="table" w:styleId="a5">
    <w:name w:val="Table Grid"/>
    <w:basedOn w:val="a1"/>
    <w:uiPriority w:val="39"/>
    <w:rsid w:val="009C5978"/>
    <w:pPr>
      <w:spacing w:after="0" w:line="240" w:lineRule="auto"/>
    </w:pPr>
    <w:rPr>
      <w:rFonts w:ascii="Times New Roman" w:eastAsia="Times New Roman" w:hAnsi="Times New Roman" w:cs="Times New Roman"/>
      <w:sz w:val="20"/>
      <w:szCs w:val="20"/>
      <w:lang w:val="x-none"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F6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88819">
      <w:bodyDiv w:val="1"/>
      <w:marLeft w:val="0"/>
      <w:marRight w:val="0"/>
      <w:marTop w:val="0"/>
      <w:marBottom w:val="0"/>
      <w:divBdr>
        <w:top w:val="none" w:sz="0" w:space="0" w:color="auto"/>
        <w:left w:val="none" w:sz="0" w:space="0" w:color="auto"/>
        <w:bottom w:val="none" w:sz="0" w:space="0" w:color="auto"/>
        <w:right w:val="none" w:sz="0" w:space="0" w:color="auto"/>
      </w:divBdr>
    </w:div>
    <w:div w:id="1249264974">
      <w:bodyDiv w:val="1"/>
      <w:marLeft w:val="0"/>
      <w:marRight w:val="0"/>
      <w:marTop w:val="0"/>
      <w:marBottom w:val="0"/>
      <w:divBdr>
        <w:top w:val="none" w:sz="0" w:space="0" w:color="auto"/>
        <w:left w:val="none" w:sz="0" w:space="0" w:color="auto"/>
        <w:bottom w:val="none" w:sz="0" w:space="0" w:color="auto"/>
        <w:right w:val="none" w:sz="0" w:space="0" w:color="auto"/>
      </w:divBdr>
    </w:div>
    <w:div w:id="2006012420">
      <w:bodyDiv w:val="1"/>
      <w:marLeft w:val="0"/>
      <w:marRight w:val="0"/>
      <w:marTop w:val="0"/>
      <w:marBottom w:val="0"/>
      <w:divBdr>
        <w:top w:val="none" w:sz="0" w:space="0" w:color="auto"/>
        <w:left w:val="none" w:sz="0" w:space="0" w:color="auto"/>
        <w:bottom w:val="none" w:sz="0" w:space="0" w:color="auto"/>
        <w:right w:val="none" w:sz="0" w:space="0" w:color="auto"/>
      </w:divBdr>
    </w:div>
    <w:div w:id="20636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465</Words>
  <Characters>2652</Characters>
  <Application>Microsoft Office Word</Application>
  <DocSecurity>0</DocSecurity>
  <Lines>22</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 Windows</cp:lastModifiedBy>
  <cp:revision>12</cp:revision>
  <cp:lastPrinted>2025-02-20T09:05:00Z</cp:lastPrinted>
  <dcterms:created xsi:type="dcterms:W3CDTF">2025-02-16T07:33:00Z</dcterms:created>
  <dcterms:modified xsi:type="dcterms:W3CDTF">2025-02-20T09:05:00Z</dcterms:modified>
</cp:coreProperties>
</file>