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FBF4" w14:textId="77777777" w:rsidR="002F4DB5" w:rsidRPr="002F4DB5" w:rsidRDefault="002F4DB5" w:rsidP="002F4DB5">
      <w:pPr>
        <w:spacing w:after="0" w:line="240" w:lineRule="auto"/>
        <w:ind w:left="5245"/>
        <w:jc w:val="both"/>
        <w:rPr>
          <w:rFonts w:eastAsia="Times New Roman"/>
          <w:sz w:val="24"/>
          <w:szCs w:val="24"/>
          <w:lang w:val="uk-UA" w:eastAsia="uk-UA"/>
        </w:rPr>
      </w:pPr>
      <w:r w:rsidRPr="002F4DB5">
        <w:rPr>
          <w:sz w:val="24"/>
          <w:szCs w:val="24"/>
          <w:lang w:val="uk-UA" w:eastAsia="uk-UA"/>
        </w:rPr>
        <w:t>Додаток</w:t>
      </w:r>
    </w:p>
    <w:p w14:paraId="2D5F8C38" w14:textId="77777777" w:rsidR="002F4DB5" w:rsidRPr="002F4DB5" w:rsidRDefault="002F4DB5" w:rsidP="002F4DB5">
      <w:pPr>
        <w:spacing w:after="0" w:line="240" w:lineRule="auto"/>
        <w:ind w:left="5245"/>
        <w:jc w:val="both"/>
        <w:rPr>
          <w:sz w:val="24"/>
          <w:szCs w:val="24"/>
          <w:lang w:val="uk-UA" w:eastAsia="uk-UA"/>
        </w:rPr>
      </w:pPr>
      <w:r w:rsidRPr="002F4DB5">
        <w:rPr>
          <w:sz w:val="24"/>
          <w:szCs w:val="24"/>
          <w:lang w:val="uk-UA" w:eastAsia="uk-UA"/>
        </w:rPr>
        <w:t xml:space="preserve">до рішення Південнівської міської ради </w:t>
      </w:r>
    </w:p>
    <w:p w14:paraId="45930C3F" w14:textId="77777777" w:rsidR="002F4DB5" w:rsidRPr="002F4DB5" w:rsidRDefault="002F4DB5" w:rsidP="002F4DB5">
      <w:pPr>
        <w:spacing w:after="0" w:line="240" w:lineRule="auto"/>
        <w:ind w:left="5245"/>
        <w:jc w:val="both"/>
        <w:rPr>
          <w:sz w:val="24"/>
          <w:szCs w:val="24"/>
          <w:lang w:val="uk-UA" w:eastAsia="uk-UA"/>
        </w:rPr>
      </w:pPr>
      <w:r w:rsidRPr="002F4DB5">
        <w:rPr>
          <w:sz w:val="24"/>
          <w:szCs w:val="24"/>
          <w:lang w:val="uk-UA" w:eastAsia="uk-UA"/>
        </w:rPr>
        <w:t xml:space="preserve">Одеського району Одеської області </w:t>
      </w:r>
    </w:p>
    <w:p w14:paraId="3549A6CD" w14:textId="3019F7A7" w:rsidR="002F4DB5" w:rsidRPr="002F4DB5" w:rsidRDefault="002F4DB5" w:rsidP="002F4DB5">
      <w:pPr>
        <w:spacing w:after="0" w:line="240" w:lineRule="auto"/>
        <w:ind w:left="5245"/>
        <w:jc w:val="both"/>
        <w:rPr>
          <w:sz w:val="24"/>
          <w:szCs w:val="24"/>
          <w:lang w:val="uk-UA" w:eastAsia="uk-UA"/>
        </w:rPr>
      </w:pPr>
      <w:r w:rsidRPr="002F4DB5">
        <w:rPr>
          <w:bCs/>
          <w:sz w:val="24"/>
          <w:szCs w:val="24"/>
          <w:lang w:val="uk-UA" w:eastAsia="uk-UA"/>
        </w:rPr>
        <w:t>від 24.07.2025 № 2</w:t>
      </w:r>
      <w:r>
        <w:rPr>
          <w:bCs/>
          <w:sz w:val="24"/>
          <w:szCs w:val="24"/>
          <w:lang w:val="uk-UA" w:eastAsia="uk-UA"/>
        </w:rPr>
        <w:t>309</w:t>
      </w:r>
      <w:r w:rsidRPr="002F4DB5">
        <w:rPr>
          <w:bCs/>
          <w:sz w:val="24"/>
          <w:szCs w:val="24"/>
          <w:lang w:val="uk-UA" w:eastAsia="uk-UA"/>
        </w:rPr>
        <w:t xml:space="preserve"> - </w:t>
      </w:r>
      <w:r w:rsidRPr="002F4DB5">
        <w:rPr>
          <w:bCs/>
          <w:sz w:val="24"/>
          <w:szCs w:val="24"/>
          <w:lang w:val="en-US" w:eastAsia="uk-UA"/>
        </w:rPr>
        <w:t>V</w:t>
      </w:r>
      <w:r w:rsidRPr="002F4DB5">
        <w:rPr>
          <w:bCs/>
          <w:sz w:val="24"/>
          <w:szCs w:val="24"/>
          <w:lang w:val="uk-UA" w:eastAsia="uk-UA"/>
        </w:rPr>
        <w:t>ІІІ</w:t>
      </w:r>
    </w:p>
    <w:p w14:paraId="72974CD9" w14:textId="77777777" w:rsidR="002F4DB5" w:rsidRDefault="002F4DB5">
      <w:pPr>
        <w:rPr>
          <w:lang w:val="uk-UA"/>
        </w:rPr>
      </w:pPr>
    </w:p>
    <w:p w14:paraId="30BB6470" w14:textId="77777777" w:rsidR="002F4DB5" w:rsidRPr="002F4DB5" w:rsidRDefault="002F4DB5" w:rsidP="002F4DB5">
      <w:pPr>
        <w:shd w:val="clear" w:color="auto" w:fill="FFFFFF"/>
        <w:spacing w:after="0" w:line="240" w:lineRule="auto"/>
        <w:ind w:right="448"/>
        <w:jc w:val="center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2F4DB5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ПОРЯДОК</w:t>
      </w:r>
      <w:r w:rsidRPr="002F4DB5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bookmarkStart w:id="0" w:name="_Hlk57984224"/>
    </w:p>
    <w:p w14:paraId="6BB24E29" w14:textId="2008E931" w:rsidR="002F4DB5" w:rsidRPr="002F4DB5" w:rsidRDefault="002F4DB5" w:rsidP="002F4DB5">
      <w:pPr>
        <w:shd w:val="clear" w:color="auto" w:fill="FFFFFF"/>
        <w:spacing w:after="0" w:line="240" w:lineRule="auto"/>
        <w:ind w:right="448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2F4DB5">
        <w:rPr>
          <w:rFonts w:eastAsia="Times New Roman"/>
          <w:b/>
          <w:bCs/>
          <w:sz w:val="24"/>
          <w:szCs w:val="24"/>
          <w:lang w:val="uk-UA" w:eastAsia="ru-RU"/>
        </w:rPr>
        <w:t>використання коштів</w:t>
      </w:r>
      <w:r w:rsidRPr="002F4DB5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, передбачених у місцевому бюджеті на реалізацію програми підтримки та розвитку вторинної медичної допомоги Южненської міської територіальної громади</w:t>
      </w:r>
      <w:r w:rsidRPr="002F4DB5">
        <w:rPr>
          <w:rFonts w:eastAsia="Times New Roman"/>
          <w:b/>
          <w:bCs/>
          <w:sz w:val="24"/>
          <w:szCs w:val="24"/>
          <w:lang w:val="uk-UA" w:eastAsia="ru-RU"/>
        </w:rPr>
        <w:t xml:space="preserve"> </w:t>
      </w:r>
    </w:p>
    <w:p w14:paraId="326D746E" w14:textId="77777777" w:rsidR="002F4DB5" w:rsidRPr="002F4DB5" w:rsidRDefault="002F4DB5" w:rsidP="002F4DB5">
      <w:pPr>
        <w:shd w:val="clear" w:color="auto" w:fill="FFFFFF"/>
        <w:spacing w:after="0" w:line="240" w:lineRule="auto"/>
        <w:ind w:right="448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2F4DB5">
        <w:rPr>
          <w:rFonts w:eastAsia="Times New Roman"/>
          <w:b/>
          <w:bCs/>
          <w:sz w:val="24"/>
          <w:szCs w:val="24"/>
          <w:lang w:val="uk-UA" w:eastAsia="ru-RU"/>
        </w:rPr>
        <w:t>на 2026-2028 роки</w:t>
      </w:r>
    </w:p>
    <w:bookmarkEnd w:id="0"/>
    <w:p w14:paraId="2C186B6A" w14:textId="77777777" w:rsidR="002F4DB5" w:rsidRPr="002F4DB5" w:rsidRDefault="002F4DB5" w:rsidP="002F4DB5">
      <w:pPr>
        <w:shd w:val="clear" w:color="auto" w:fill="FFFFFF"/>
        <w:spacing w:after="0" w:line="240" w:lineRule="auto"/>
        <w:ind w:left="448" w:right="448"/>
        <w:jc w:val="center"/>
        <w:rPr>
          <w:rFonts w:eastAsia="Times New Roman"/>
          <w:sz w:val="24"/>
          <w:szCs w:val="24"/>
          <w:lang w:val="uk-UA" w:eastAsia="ru-RU"/>
        </w:rPr>
      </w:pPr>
    </w:p>
    <w:p w14:paraId="3FDD97FA" w14:textId="77777777" w:rsidR="002F4DB5" w:rsidRPr="002F4DB5" w:rsidRDefault="002F4DB5" w:rsidP="002F4DB5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1. Цей Порядок визначає механізм використання коштів міського бюджету, передбачених на реалізацію програми підтримки та розвитку вторинної  медичної допомоги комунального некомерційного підприємства «Південнівська міська лікарня» Південнівська міської ради на 2026-2028 роки (далі – Програма).</w:t>
      </w:r>
    </w:p>
    <w:p w14:paraId="331C1CD3" w14:textId="77777777" w:rsidR="002F4DB5" w:rsidRPr="002F4DB5" w:rsidRDefault="002F4DB5" w:rsidP="002F4DB5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 xml:space="preserve">2. Бюджетні кошти на виконання Програми виділяються з метою </w:t>
      </w:r>
      <w:r w:rsidRPr="002F4DB5">
        <w:rPr>
          <w:rFonts w:eastAsia="Times New Roman"/>
          <w:sz w:val="24"/>
          <w:szCs w:val="24"/>
          <w:lang w:val="uk-UA" w:eastAsia="uk-UA"/>
        </w:rPr>
        <w:t xml:space="preserve">збереження та зміцнення здоров’я, профілактика захворювань, зниження захворюваності, інвалідності і смертності населення (в тому числі від інфекційних </w:t>
      </w:r>
      <w:proofErr w:type="spellStart"/>
      <w:r w:rsidRPr="002F4DB5">
        <w:rPr>
          <w:rFonts w:eastAsia="Times New Roman"/>
          <w:sz w:val="24"/>
          <w:szCs w:val="24"/>
          <w:lang w:val="uk-UA" w:eastAsia="uk-UA"/>
        </w:rPr>
        <w:t>хвороб</w:t>
      </w:r>
      <w:proofErr w:type="spellEnd"/>
      <w:r w:rsidRPr="002F4DB5">
        <w:rPr>
          <w:rFonts w:eastAsia="Times New Roman"/>
          <w:sz w:val="24"/>
          <w:szCs w:val="24"/>
          <w:lang w:val="uk-UA" w:eastAsia="uk-UA"/>
        </w:rPr>
        <w:t>), підвищення якості та ефективності надання медичної допомоги, забезпечення епідемічного благополуччя населення міста, забезпечення соціальної справедливості і захисту прав громадян на</w:t>
      </w:r>
      <w:r w:rsidRPr="002F4DB5">
        <w:rPr>
          <w:rFonts w:eastAsia="Times New Roman"/>
          <w:sz w:val="24"/>
          <w:szCs w:val="24"/>
          <w:lang w:eastAsia="uk-UA"/>
        </w:rPr>
        <w:t> </w:t>
      </w:r>
      <w:r w:rsidRPr="002F4DB5">
        <w:rPr>
          <w:rFonts w:eastAsia="Times New Roman"/>
          <w:sz w:val="24"/>
          <w:szCs w:val="24"/>
          <w:lang w:val="uk-UA" w:eastAsia="uk-UA"/>
        </w:rPr>
        <w:t>охорону здоров’я</w:t>
      </w:r>
      <w:r w:rsidRPr="002F4DB5">
        <w:rPr>
          <w:rFonts w:eastAsia="Times New Roman"/>
          <w:sz w:val="24"/>
          <w:szCs w:val="24"/>
          <w:lang w:val="uk-UA" w:eastAsia="ru-RU"/>
        </w:rPr>
        <w:t>.</w:t>
      </w:r>
    </w:p>
    <w:p w14:paraId="588A9DAC" w14:textId="77777777" w:rsidR="002F4DB5" w:rsidRPr="002F4DB5" w:rsidRDefault="002F4DB5" w:rsidP="002F4DB5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bookmarkStart w:id="1" w:name="n11"/>
      <w:bookmarkStart w:id="2" w:name="n12"/>
      <w:bookmarkStart w:id="3" w:name="n13"/>
      <w:bookmarkEnd w:id="1"/>
      <w:bookmarkEnd w:id="2"/>
      <w:bookmarkEnd w:id="3"/>
      <w:r w:rsidRPr="002F4DB5">
        <w:rPr>
          <w:rFonts w:eastAsia="Times New Roman"/>
          <w:sz w:val="24"/>
          <w:szCs w:val="24"/>
          <w:lang w:val="uk-UA" w:eastAsia="ru-RU"/>
        </w:rPr>
        <w:t xml:space="preserve">3. </w:t>
      </w:r>
      <w:bookmarkStart w:id="4" w:name="n14"/>
      <w:bookmarkEnd w:id="4"/>
      <w:r w:rsidRPr="002F4DB5">
        <w:rPr>
          <w:rFonts w:eastAsia="Times New Roman"/>
          <w:sz w:val="24"/>
          <w:szCs w:val="24"/>
          <w:lang w:val="uk-UA" w:eastAsia="ru-RU"/>
        </w:rPr>
        <w:t xml:space="preserve">Головними розпорядниками бюджетних коштів та відповідальними виконавцями бюджетної програми є Виконавчий комітет </w:t>
      </w:r>
      <w:bookmarkStart w:id="5" w:name="_Hlk203396349"/>
      <w:r w:rsidRPr="002F4DB5">
        <w:rPr>
          <w:rFonts w:eastAsia="Times New Roman"/>
          <w:sz w:val="24"/>
          <w:szCs w:val="24"/>
          <w:lang w:val="uk-UA" w:eastAsia="ru-RU"/>
        </w:rPr>
        <w:t>Південнівськ</w:t>
      </w:r>
      <w:bookmarkEnd w:id="5"/>
      <w:r w:rsidRPr="002F4DB5">
        <w:rPr>
          <w:rFonts w:eastAsia="Times New Roman"/>
          <w:sz w:val="24"/>
          <w:szCs w:val="24"/>
          <w:lang w:val="uk-UA" w:eastAsia="ru-RU"/>
        </w:rPr>
        <w:t>ої міської ради Одеського району Одеської області та Управління капітального будівництва Південнівської міської ради Одеського району Одеської області.</w:t>
      </w:r>
    </w:p>
    <w:p w14:paraId="58CFB336" w14:textId="77777777" w:rsidR="002F4DB5" w:rsidRPr="002F4DB5" w:rsidRDefault="002F4DB5" w:rsidP="002F4DB5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Одержувачем бюджетних коштів бюджетної програми є комунальне некомерційне підприємство «Південнівська міська лікарня» Південнівської міської ради.</w:t>
      </w:r>
    </w:p>
    <w:p w14:paraId="331B15C1" w14:textId="77777777" w:rsidR="002F4DB5" w:rsidRPr="002F4DB5" w:rsidRDefault="002F4DB5" w:rsidP="002F4DB5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4. Критерії визначення одержувача для здійснення заходів бюджетної програми є:</w:t>
      </w:r>
    </w:p>
    <w:p w14:paraId="311E5F9C" w14:textId="77777777" w:rsidR="002F4DB5" w:rsidRPr="002F4DB5" w:rsidRDefault="002F4DB5" w:rsidP="002F4DB5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- досвід роботи за відповідним профілем не менше двох років та наявність відповідної кваліфікації з урахуванням напряму чи заходу бюджетної програми;</w:t>
      </w:r>
      <w:bookmarkStart w:id="6" w:name="n71"/>
      <w:bookmarkStart w:id="7" w:name="n72"/>
      <w:bookmarkStart w:id="8" w:name="n73"/>
      <w:bookmarkStart w:id="9" w:name="n74"/>
      <w:bookmarkEnd w:id="6"/>
      <w:bookmarkEnd w:id="7"/>
      <w:bookmarkEnd w:id="8"/>
      <w:bookmarkEnd w:id="9"/>
    </w:p>
    <w:p w14:paraId="7546BCFC" w14:textId="77777777" w:rsidR="002F4DB5" w:rsidRPr="002F4DB5" w:rsidRDefault="002F4DB5" w:rsidP="002F4DB5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- наявність бездефіцитного фінансового плану на поточний рік, фінансово-економічного розрахунку (обґрунтування) здійснення заходів бюджетної програми;</w:t>
      </w:r>
      <w:bookmarkStart w:id="10" w:name="n75"/>
      <w:bookmarkStart w:id="11" w:name="n76"/>
      <w:bookmarkEnd w:id="10"/>
      <w:bookmarkEnd w:id="11"/>
    </w:p>
    <w:p w14:paraId="35CCFD2B" w14:textId="77777777" w:rsidR="002F4DB5" w:rsidRPr="002F4DB5" w:rsidRDefault="002F4DB5" w:rsidP="002F4DB5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- незбиткова діяльність одержувача за останні два роки, відсутність простроченої заборгованості за наданими банками кредитами;</w:t>
      </w:r>
      <w:bookmarkStart w:id="12" w:name="n77"/>
      <w:bookmarkStart w:id="13" w:name="n79"/>
      <w:bookmarkStart w:id="14" w:name="n80"/>
      <w:bookmarkEnd w:id="12"/>
      <w:bookmarkEnd w:id="13"/>
      <w:bookmarkEnd w:id="14"/>
    </w:p>
    <w:p w14:paraId="14192A93" w14:textId="77777777" w:rsidR="002F4DB5" w:rsidRPr="002F4DB5" w:rsidRDefault="002F4DB5" w:rsidP="002F4DB5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- застосування договірних умов.</w:t>
      </w:r>
    </w:p>
    <w:p w14:paraId="2482F59D" w14:textId="77777777" w:rsidR="002F4DB5" w:rsidRPr="002F4DB5" w:rsidRDefault="002F4DB5" w:rsidP="002F4DB5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uk-UA" w:eastAsia="ru-RU"/>
        </w:rPr>
      </w:pPr>
      <w:bookmarkStart w:id="15" w:name="n81"/>
      <w:bookmarkStart w:id="16" w:name="n82"/>
      <w:bookmarkEnd w:id="15"/>
      <w:bookmarkEnd w:id="16"/>
      <w:r w:rsidRPr="002F4DB5">
        <w:rPr>
          <w:rFonts w:eastAsia="Times New Roman"/>
          <w:sz w:val="24"/>
          <w:szCs w:val="24"/>
          <w:lang w:val="uk-UA" w:eastAsia="ru-RU"/>
        </w:rPr>
        <w:t>У разі отримання бюджетних коштів одержувачем платежі здійснюються з рахунка, відкритого в установленому порядку в органах Казначейства, якщо інше не передбачено законодавством.</w:t>
      </w:r>
    </w:p>
    <w:p w14:paraId="4F1541F4" w14:textId="77777777" w:rsidR="002F4DB5" w:rsidRPr="002F4DB5" w:rsidRDefault="002F4DB5" w:rsidP="002F4DB5">
      <w:pPr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bookmarkStart w:id="17" w:name="n83"/>
      <w:bookmarkStart w:id="18" w:name="n84"/>
      <w:bookmarkEnd w:id="17"/>
      <w:bookmarkEnd w:id="18"/>
      <w:r w:rsidRPr="002F4DB5">
        <w:rPr>
          <w:rFonts w:eastAsia="Times New Roman"/>
          <w:sz w:val="24"/>
          <w:szCs w:val="24"/>
          <w:lang w:val="uk-UA" w:eastAsia="ru-RU"/>
        </w:rPr>
        <w:t>Одержувачем не може бути суб'єкт господарювання, громадська чи інша організація, яку визнано в установленому порядку банкрутом, стосовно якої порушено справу про банкрутство чи яка перебуває в стадії ліквідації.</w:t>
      </w:r>
    </w:p>
    <w:p w14:paraId="7D901723" w14:textId="77777777" w:rsidR="002F4DB5" w:rsidRPr="002F4DB5" w:rsidRDefault="002F4DB5" w:rsidP="002F4DB5">
      <w:pPr>
        <w:spacing w:after="0" w:line="240" w:lineRule="auto"/>
        <w:ind w:firstLine="448"/>
        <w:jc w:val="both"/>
        <w:rPr>
          <w:rFonts w:eastAsia="Times New Roman"/>
          <w:bCs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 xml:space="preserve">5. </w:t>
      </w:r>
      <w:bookmarkStart w:id="19" w:name="n86"/>
      <w:bookmarkEnd w:id="19"/>
      <w:r w:rsidRPr="002F4DB5">
        <w:rPr>
          <w:rFonts w:eastAsia="Times New Roman"/>
          <w:bCs/>
          <w:sz w:val="24"/>
          <w:szCs w:val="24"/>
          <w:lang w:val="uk-UA" w:eastAsia="ru-RU"/>
        </w:rPr>
        <w:t>Напрями використання бюджетних коштів:</w:t>
      </w:r>
    </w:p>
    <w:p w14:paraId="1BD49054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 xml:space="preserve">Кошти </w:t>
      </w:r>
      <w:r w:rsidRPr="002F4DB5"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  <w:t>спрямовуються на оплату поточних видатків закладів охорони здоров’я та програм у сфері охорони здоров’я, визначених у </w:t>
      </w:r>
      <w:r w:rsidRPr="002F4DB5">
        <w:rPr>
          <w:rFonts w:eastAsia="Times New Roman"/>
          <w:sz w:val="24"/>
          <w:szCs w:val="24"/>
          <w:lang w:val="uk-UA" w:eastAsia="ru-RU"/>
        </w:rPr>
        <w:t>статті 89</w:t>
      </w:r>
      <w:r w:rsidRPr="002F4DB5"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Бюджетного кодексу України</w:t>
      </w:r>
    </w:p>
    <w:p w14:paraId="44B1AEAC" w14:textId="77777777" w:rsidR="002F4DB5" w:rsidRPr="002F4DB5" w:rsidRDefault="002F4DB5" w:rsidP="002F4DB5">
      <w:pPr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2F4DB5"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та</w:t>
      </w:r>
      <w:r w:rsidRPr="002F4DB5">
        <w:rPr>
          <w:rFonts w:eastAsia="Times New Roman"/>
          <w:sz w:val="24"/>
          <w:szCs w:val="24"/>
          <w:lang w:val="uk-UA" w:eastAsia="ru-RU"/>
        </w:rPr>
        <w:t xml:space="preserve"> пунктом 5 Закону України «Про державні фінансові гарантії медичного обслуговування населення» саме:</w:t>
      </w:r>
      <w:r w:rsidRPr="002F4DB5"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14:paraId="6F86D340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- придбання предметів, матеріалів, обладнання та інвентаря;</w:t>
      </w:r>
    </w:p>
    <w:p w14:paraId="22632521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- придбання медикаментів та перев’язувальних матеріалів;</w:t>
      </w:r>
    </w:p>
    <w:p w14:paraId="50942599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- оплату послуг (крім комунальних);</w:t>
      </w:r>
    </w:p>
    <w:p w14:paraId="5E734AC7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- оплату комунальних послуг та енергоносіїв;</w:t>
      </w:r>
    </w:p>
    <w:p w14:paraId="0808993A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- видатки на відрядження;</w:t>
      </w:r>
    </w:p>
    <w:p w14:paraId="4CEAECE2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- придбання обладнання та предметів довгострокового користування;</w:t>
      </w:r>
    </w:p>
    <w:p w14:paraId="6B8E7763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lastRenderedPageBreak/>
        <w:t xml:space="preserve">-капітальні трансферти підприємствам (установам, організаціям)(придбання обладнання і предметів довгострокового користування)   </w:t>
      </w:r>
    </w:p>
    <w:p w14:paraId="5386F046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 xml:space="preserve">- </w:t>
      </w:r>
      <w:r w:rsidRPr="002F4DB5">
        <w:rPr>
          <w:rFonts w:eastAsia="Times New Roman"/>
          <w:color w:val="333333"/>
          <w:sz w:val="24"/>
          <w:szCs w:val="24"/>
          <w:shd w:val="clear" w:color="auto" w:fill="FFFFFF"/>
          <w:lang w:val="uk-UA" w:eastAsia="ru-RU"/>
        </w:rPr>
        <w:t>інші виплати населенню</w:t>
      </w:r>
      <w:r w:rsidRPr="002F4DB5">
        <w:rPr>
          <w:rFonts w:eastAsia="Times New Roman"/>
          <w:sz w:val="24"/>
          <w:szCs w:val="24"/>
          <w:lang w:val="uk-UA" w:eastAsia="ru-RU"/>
        </w:rPr>
        <w:t xml:space="preserve">;    </w:t>
      </w:r>
    </w:p>
    <w:p w14:paraId="7ABC8910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- інші поточні видатки.</w:t>
      </w:r>
    </w:p>
    <w:p w14:paraId="2DE330A3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6. Розподіл бюджетних коштів за напрямами, здійснюється головним розпорядником бюджетних коштів з урахуванням наданих одержувачем обґрунтувань потреби в коштах і детальних розрахунках витрат, визначених на підставі нормативів, штатної чисельності та умов оплати праці працівників.</w:t>
      </w:r>
    </w:p>
    <w:p w14:paraId="7FCDA092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7. Бюджетні кошти використовуються в межах відповідних бюджетних призначень, встановлених рішенням сесії міської ради про міський бюджет на відповідний рік.</w:t>
      </w:r>
    </w:p>
    <w:p w14:paraId="0E960C8F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8. Одержувач бюджетних коштів використовує бюджетні кошти відповідно до вимог бюджетного законодавства на підставі плану використання бюджетних коштів, що містить розподіл бюджетних асигнувань, затверджених у кошторисі головного розпорядника коштів на відповідний рік.</w:t>
      </w:r>
    </w:p>
    <w:p w14:paraId="2D6C85D2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9. Відкриття рахунків, реєстрація та облік зобов’язань, проведення операцій, пов’язаних з використанням бюджетних коштів, здійснюються відповідно Порядку казначейського обслуговування місцевих бюджетів, затвердженого Державним казначейством України.</w:t>
      </w:r>
    </w:p>
    <w:p w14:paraId="375681C9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10. </w:t>
      </w:r>
      <w:r w:rsidRPr="002F4DB5">
        <w:rPr>
          <w:rFonts w:eastAsia="Times New Roman"/>
          <w:sz w:val="24"/>
          <w:szCs w:val="24"/>
          <w:lang w:val="uk-UA" w:eastAsia="ru-RU"/>
        </w:rPr>
        <w:t>Головний розпорядник бюджетних коштів забезпечує цільове та ефективне використання бюджетних коштів протягом усього строку реалізації бюджетної програми у межах визначених бюджетних призначень; здійснює організацію та координацію роботи  одержувачів бюджетних коштів у бюджетному процесі.</w:t>
      </w:r>
    </w:p>
    <w:p w14:paraId="0CBDD437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11. Відповідно до статті  8 Закону України «Про бухгалтерський облік та фінансову звітність України» керівник комунального некомерційного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звітності.</w:t>
      </w:r>
    </w:p>
    <w:p w14:paraId="6982ED70" w14:textId="77777777" w:rsidR="002F4DB5" w:rsidRPr="002F4DB5" w:rsidRDefault="002F4DB5" w:rsidP="002F4DB5">
      <w:pPr>
        <w:shd w:val="clear" w:color="auto" w:fill="FFFFFF"/>
        <w:spacing w:after="0" w:line="240" w:lineRule="auto"/>
        <w:ind w:firstLine="448"/>
        <w:jc w:val="both"/>
        <w:rPr>
          <w:rFonts w:eastAsia="Times New Roman"/>
          <w:sz w:val="24"/>
          <w:szCs w:val="24"/>
          <w:lang w:val="uk-UA" w:eastAsia="ru-RU"/>
        </w:rPr>
      </w:pPr>
      <w:r w:rsidRPr="002F4DB5">
        <w:rPr>
          <w:rFonts w:eastAsia="Times New Roman"/>
          <w:sz w:val="24"/>
          <w:szCs w:val="24"/>
          <w:lang w:val="uk-UA" w:eastAsia="ru-RU"/>
        </w:rPr>
        <w:t>12. Складення та подання фінансової і бюджетної звітності, звітів про виконання бюджетної програми, а також контроль за цільовим та ефективним витрачанням бюджетних коштів здійснюються в установленому законодавством порядку.</w:t>
      </w:r>
    </w:p>
    <w:p w14:paraId="11791D70" w14:textId="77777777" w:rsidR="002F4DB5" w:rsidRDefault="002F4DB5">
      <w:pPr>
        <w:rPr>
          <w:sz w:val="24"/>
          <w:szCs w:val="24"/>
          <w:lang w:val="uk-UA"/>
        </w:rPr>
      </w:pPr>
    </w:p>
    <w:p w14:paraId="076A1CC4" w14:textId="77777777" w:rsidR="002F4DB5" w:rsidRDefault="002F4DB5">
      <w:pPr>
        <w:rPr>
          <w:sz w:val="24"/>
          <w:szCs w:val="24"/>
          <w:lang w:val="uk-UA"/>
        </w:rPr>
      </w:pPr>
    </w:p>
    <w:p w14:paraId="3CFE6B60" w14:textId="77777777" w:rsidR="002F4DB5" w:rsidRDefault="002F4DB5" w:rsidP="002F4DB5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Південнівської 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Ігор ЧУГУННИКОВ</w:t>
      </w:r>
    </w:p>
    <w:p w14:paraId="4E3F9017" w14:textId="77777777" w:rsidR="002F4DB5" w:rsidRPr="002F4DB5" w:rsidRDefault="002F4DB5">
      <w:pPr>
        <w:rPr>
          <w:sz w:val="24"/>
          <w:szCs w:val="24"/>
          <w:lang w:val="uk-UA"/>
        </w:rPr>
      </w:pPr>
    </w:p>
    <w:sectPr w:rsidR="002F4DB5" w:rsidRPr="002F4DB5" w:rsidSect="0007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E3E5F"/>
    <w:multiLevelType w:val="hybridMultilevel"/>
    <w:tmpl w:val="75967AA6"/>
    <w:lvl w:ilvl="0" w:tplc="AF06E8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F20E38">
      <w:numFmt w:val="none"/>
      <w:lvlText w:val=""/>
      <w:lvlJc w:val="left"/>
      <w:pPr>
        <w:tabs>
          <w:tab w:val="num" w:pos="360"/>
        </w:tabs>
      </w:pPr>
    </w:lvl>
    <w:lvl w:ilvl="2" w:tplc="CB94663E">
      <w:numFmt w:val="none"/>
      <w:lvlText w:val=""/>
      <w:lvlJc w:val="left"/>
      <w:pPr>
        <w:tabs>
          <w:tab w:val="num" w:pos="360"/>
        </w:tabs>
      </w:pPr>
    </w:lvl>
    <w:lvl w:ilvl="3" w:tplc="F574EB04">
      <w:numFmt w:val="none"/>
      <w:lvlText w:val=""/>
      <w:lvlJc w:val="left"/>
      <w:pPr>
        <w:tabs>
          <w:tab w:val="num" w:pos="360"/>
        </w:tabs>
      </w:pPr>
    </w:lvl>
    <w:lvl w:ilvl="4" w:tplc="A9221BFE">
      <w:numFmt w:val="none"/>
      <w:lvlText w:val=""/>
      <w:lvlJc w:val="left"/>
      <w:pPr>
        <w:tabs>
          <w:tab w:val="num" w:pos="360"/>
        </w:tabs>
      </w:pPr>
    </w:lvl>
    <w:lvl w:ilvl="5" w:tplc="33ACC7B4">
      <w:numFmt w:val="none"/>
      <w:lvlText w:val=""/>
      <w:lvlJc w:val="left"/>
      <w:pPr>
        <w:tabs>
          <w:tab w:val="num" w:pos="360"/>
        </w:tabs>
      </w:pPr>
    </w:lvl>
    <w:lvl w:ilvl="6" w:tplc="B7863BAC">
      <w:numFmt w:val="none"/>
      <w:lvlText w:val=""/>
      <w:lvlJc w:val="left"/>
      <w:pPr>
        <w:tabs>
          <w:tab w:val="num" w:pos="360"/>
        </w:tabs>
      </w:pPr>
    </w:lvl>
    <w:lvl w:ilvl="7" w:tplc="873C7640">
      <w:numFmt w:val="none"/>
      <w:lvlText w:val=""/>
      <w:lvlJc w:val="left"/>
      <w:pPr>
        <w:tabs>
          <w:tab w:val="num" w:pos="360"/>
        </w:tabs>
      </w:pPr>
    </w:lvl>
    <w:lvl w:ilvl="8" w:tplc="E0AE1B56">
      <w:numFmt w:val="none"/>
      <w:lvlText w:val=""/>
      <w:lvlJc w:val="left"/>
      <w:pPr>
        <w:tabs>
          <w:tab w:val="num" w:pos="360"/>
        </w:tabs>
      </w:pPr>
    </w:lvl>
  </w:abstractNum>
  <w:num w:numId="1" w16cid:durableId="907304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B6"/>
    <w:rsid w:val="00077B26"/>
    <w:rsid w:val="000A5B34"/>
    <w:rsid w:val="001559DF"/>
    <w:rsid w:val="002C7FB0"/>
    <w:rsid w:val="002F4DB5"/>
    <w:rsid w:val="00307D05"/>
    <w:rsid w:val="00553BB9"/>
    <w:rsid w:val="006C30CF"/>
    <w:rsid w:val="006C7DE2"/>
    <w:rsid w:val="008715BA"/>
    <w:rsid w:val="00A079C7"/>
    <w:rsid w:val="00B96ABB"/>
    <w:rsid w:val="00BE30C0"/>
    <w:rsid w:val="00C0082A"/>
    <w:rsid w:val="00C93D27"/>
    <w:rsid w:val="00CB11DB"/>
    <w:rsid w:val="00D77060"/>
    <w:rsid w:val="00D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5B55"/>
  <w15:chartTrackingRefBased/>
  <w15:docId w15:val="{58C49EE5-2397-4DF2-9A32-0F843D6B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26"/>
    <w:pPr>
      <w:spacing w:after="200" w:line="276" w:lineRule="auto"/>
    </w:pPr>
    <w:rPr>
      <w:rFonts w:eastAsia="SimSun"/>
      <w:bCs w:val="0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7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5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5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5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5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5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5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5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5B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5B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5B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5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5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5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5B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8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5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875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87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87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5B6"/>
    <w:rPr>
      <w:b/>
      <w:bCs w:val="0"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BE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BE30C0"/>
    <w:rPr>
      <w:rFonts w:ascii="Segoe UI" w:eastAsia="SimSun" w:hAnsi="Segoe UI" w:cs="Segoe UI"/>
      <w:bCs w:val="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3232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2</cp:revision>
  <cp:lastPrinted>2025-07-24T11:13:00Z</cp:lastPrinted>
  <dcterms:created xsi:type="dcterms:W3CDTF">2025-07-31T09:54:00Z</dcterms:created>
  <dcterms:modified xsi:type="dcterms:W3CDTF">2025-07-31T09:54:00Z</dcterms:modified>
</cp:coreProperties>
</file>