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4DC2" w14:textId="17D51A8A"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sz w:val="24"/>
          <w:szCs w:val="24"/>
          <w:lang w:val="uk-UA" w:eastAsia="uk-UA"/>
        </w:rPr>
        <w:t>Додаток</w:t>
      </w:r>
      <w:r>
        <w:rPr>
          <w:rFonts w:eastAsia="Times New Roman"/>
          <w:sz w:val="24"/>
          <w:szCs w:val="24"/>
          <w:lang w:val="uk-UA" w:eastAsia="uk-UA"/>
        </w:rPr>
        <w:t xml:space="preserve"> </w:t>
      </w:r>
    </w:p>
    <w:p w14:paraId="4E48AFF7" w14:textId="77777777"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sz w:val="24"/>
          <w:szCs w:val="24"/>
          <w:lang w:val="uk-UA" w:eastAsia="uk-UA"/>
        </w:rPr>
        <w:t xml:space="preserve">до рішення Південнівської міської ради </w:t>
      </w:r>
    </w:p>
    <w:p w14:paraId="5593822E" w14:textId="77777777"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sz w:val="24"/>
          <w:szCs w:val="24"/>
          <w:lang w:val="uk-UA" w:eastAsia="uk-UA"/>
        </w:rPr>
        <w:t xml:space="preserve">Одеського району Одеської області </w:t>
      </w:r>
    </w:p>
    <w:p w14:paraId="16F5FB53" w14:textId="6E034664" w:rsidR="003170EE" w:rsidRPr="003170EE" w:rsidRDefault="003170EE" w:rsidP="003170EE">
      <w:pPr>
        <w:spacing w:after="0" w:line="240" w:lineRule="auto"/>
        <w:ind w:left="5245"/>
        <w:jc w:val="both"/>
        <w:rPr>
          <w:rFonts w:eastAsia="Times New Roman"/>
          <w:sz w:val="24"/>
          <w:szCs w:val="24"/>
          <w:lang w:val="uk-UA" w:eastAsia="uk-UA"/>
        </w:rPr>
      </w:pPr>
      <w:r w:rsidRPr="003170EE">
        <w:rPr>
          <w:rFonts w:eastAsia="Times New Roman"/>
          <w:bCs/>
          <w:sz w:val="24"/>
          <w:szCs w:val="24"/>
          <w:lang w:val="uk-UA" w:eastAsia="uk-UA"/>
        </w:rPr>
        <w:t>від 24.07.2025 № 2</w:t>
      </w:r>
      <w:r>
        <w:rPr>
          <w:rFonts w:eastAsia="Times New Roman"/>
          <w:bCs/>
          <w:sz w:val="24"/>
          <w:szCs w:val="24"/>
          <w:lang w:val="uk-UA" w:eastAsia="uk-UA"/>
        </w:rPr>
        <w:t>3</w:t>
      </w:r>
      <w:r w:rsidR="00A2320D">
        <w:rPr>
          <w:rFonts w:eastAsia="Times New Roman"/>
          <w:bCs/>
          <w:sz w:val="24"/>
          <w:szCs w:val="24"/>
          <w:lang w:val="uk-UA" w:eastAsia="uk-UA"/>
        </w:rPr>
        <w:t>14</w:t>
      </w:r>
      <w:r w:rsidRPr="003170EE">
        <w:rPr>
          <w:rFonts w:eastAsia="Times New Roman"/>
          <w:bCs/>
          <w:sz w:val="24"/>
          <w:szCs w:val="24"/>
          <w:lang w:val="uk-UA" w:eastAsia="uk-UA"/>
        </w:rPr>
        <w:t xml:space="preserve"> - </w:t>
      </w:r>
      <w:r w:rsidRPr="003170EE">
        <w:rPr>
          <w:rFonts w:eastAsia="Times New Roman"/>
          <w:bCs/>
          <w:sz w:val="24"/>
          <w:szCs w:val="24"/>
          <w:lang w:val="en-US" w:eastAsia="uk-UA"/>
        </w:rPr>
        <w:t>V</w:t>
      </w:r>
      <w:r w:rsidRPr="003170EE">
        <w:rPr>
          <w:rFonts w:eastAsia="Times New Roman"/>
          <w:bCs/>
          <w:sz w:val="24"/>
          <w:szCs w:val="24"/>
          <w:lang w:val="uk-UA" w:eastAsia="uk-UA"/>
        </w:rPr>
        <w:t>ІІІ</w:t>
      </w:r>
    </w:p>
    <w:p w14:paraId="38762E5F" w14:textId="77777777" w:rsidR="00A2320D" w:rsidRPr="00A2320D" w:rsidRDefault="00A2320D" w:rsidP="00A2320D">
      <w:pPr>
        <w:spacing w:after="0" w:line="240" w:lineRule="auto"/>
        <w:rPr>
          <w:rFonts w:eastAsia="Times New Roman"/>
          <w:sz w:val="24"/>
          <w:szCs w:val="24"/>
          <w:lang w:val="uk-UA" w:eastAsia="ru-RU"/>
        </w:rPr>
      </w:pPr>
    </w:p>
    <w:p w14:paraId="28DDBA98"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ГРАНИЧНІ СУМИ ВИТРАТ</w:t>
      </w:r>
    </w:p>
    <w:p w14:paraId="5D4C2904"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на придбання меблів, іншого обладнання</w:t>
      </w:r>
    </w:p>
    <w:p w14:paraId="02B0494E" w14:textId="0F4BED2D"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 xml:space="preserve"> та устаткування, комп’ютерів, автомобілів органами місцевого самоврядування, а також установами та організаціями, які утримуються за рахунок коштів місцевого бюджету Южненської міської територіальної громади</w:t>
      </w:r>
    </w:p>
    <w:p w14:paraId="3FF8F7B9" w14:textId="77777777" w:rsidR="00A2320D" w:rsidRPr="00A2320D" w:rsidRDefault="00A2320D" w:rsidP="00A2320D">
      <w:pPr>
        <w:spacing w:after="0" w:line="240" w:lineRule="auto"/>
        <w:jc w:val="both"/>
        <w:rPr>
          <w:rFonts w:eastAsia="Times New Roman"/>
          <w:sz w:val="24"/>
          <w:szCs w:val="24"/>
          <w:lang w:val="uk-UA" w:eastAsia="ru-RU"/>
        </w:rPr>
      </w:pPr>
      <w:r w:rsidRPr="00A2320D">
        <w:rPr>
          <w:rFonts w:eastAsia="Times New Roman"/>
          <w:sz w:val="24"/>
          <w:szCs w:val="24"/>
          <w:lang w:val="uk-UA" w:eastAsia="ru-RU"/>
        </w:rPr>
        <w:t xml:space="preserve"> </w:t>
      </w:r>
    </w:p>
    <w:tbl>
      <w:tblPr>
        <w:tblW w:w="0" w:type="auto"/>
        <w:tblLook w:val="04A0" w:firstRow="1" w:lastRow="0" w:firstColumn="1" w:lastColumn="0" w:noHBand="0" w:noVBand="1"/>
      </w:tblPr>
      <w:tblGrid>
        <w:gridCol w:w="7813"/>
        <w:gridCol w:w="1542"/>
      </w:tblGrid>
      <w:tr w:rsidR="00A2320D" w:rsidRPr="00A2320D" w14:paraId="4321184F" w14:textId="77777777" w:rsidTr="00BD2776">
        <w:tc>
          <w:tcPr>
            <w:tcW w:w="8818" w:type="dxa"/>
            <w:shd w:val="clear" w:color="auto" w:fill="auto"/>
          </w:tcPr>
          <w:p w14:paraId="4D444B80" w14:textId="77777777" w:rsidR="00A2320D" w:rsidRPr="00A2320D" w:rsidRDefault="00A2320D" w:rsidP="00A2320D">
            <w:pPr>
              <w:spacing w:after="0" w:line="240" w:lineRule="auto"/>
              <w:rPr>
                <w:rFonts w:eastAsia="Times New Roman"/>
                <w:sz w:val="24"/>
                <w:szCs w:val="24"/>
                <w:lang w:val="uk-UA" w:eastAsia="ru-RU"/>
              </w:rPr>
            </w:pPr>
          </w:p>
        </w:tc>
        <w:tc>
          <w:tcPr>
            <w:tcW w:w="1036" w:type="dxa"/>
            <w:shd w:val="clear" w:color="auto" w:fill="auto"/>
          </w:tcPr>
          <w:p w14:paraId="50114F6E"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Сума, гривень за одиницю з урахуванням податку на додану вартість</w:t>
            </w:r>
          </w:p>
        </w:tc>
      </w:tr>
      <w:tr w:rsidR="00A2320D" w:rsidRPr="00A2320D" w14:paraId="2139B5E9" w14:textId="77777777" w:rsidTr="00BD2776">
        <w:tc>
          <w:tcPr>
            <w:tcW w:w="8818" w:type="dxa"/>
            <w:shd w:val="clear" w:color="auto" w:fill="auto"/>
          </w:tcPr>
          <w:p w14:paraId="67AE775F" w14:textId="77777777" w:rsidR="00A2320D" w:rsidRPr="00A2320D" w:rsidRDefault="00A2320D" w:rsidP="00A2320D">
            <w:pPr>
              <w:spacing w:after="0" w:line="240" w:lineRule="auto"/>
              <w:rPr>
                <w:rFonts w:eastAsia="Times New Roman"/>
                <w:color w:val="000000"/>
                <w:sz w:val="24"/>
                <w:szCs w:val="24"/>
                <w:shd w:val="clear" w:color="auto" w:fill="FFFFFF"/>
                <w:lang w:val="uk-UA" w:eastAsia="ru-RU"/>
              </w:rPr>
            </w:pPr>
            <w:r w:rsidRPr="00A2320D">
              <w:rPr>
                <w:rFonts w:eastAsia="Times New Roman"/>
                <w:color w:val="000000"/>
                <w:sz w:val="24"/>
                <w:szCs w:val="24"/>
                <w:shd w:val="clear" w:color="auto" w:fill="FFFFFF"/>
                <w:lang w:val="uk-UA" w:eastAsia="ru-RU"/>
              </w:rPr>
              <w:t>Персональний комп’ютер або моноблок (системний блок/</w:t>
            </w:r>
            <w:proofErr w:type="spellStart"/>
            <w:r w:rsidRPr="00A2320D">
              <w:rPr>
                <w:rFonts w:eastAsia="Times New Roman"/>
                <w:color w:val="000000"/>
                <w:sz w:val="24"/>
                <w:szCs w:val="24"/>
                <w:shd w:val="clear" w:color="auto" w:fill="FFFFFF"/>
                <w:lang w:val="uk-UA" w:eastAsia="ru-RU"/>
              </w:rPr>
              <w:t>неттоп</w:t>
            </w:r>
            <w:proofErr w:type="spellEnd"/>
            <w:r w:rsidRPr="00A2320D">
              <w:rPr>
                <w:rFonts w:eastAsia="Times New Roman"/>
                <w:color w:val="000000"/>
                <w:sz w:val="24"/>
                <w:szCs w:val="24"/>
                <w:shd w:val="clear" w:color="auto" w:fill="FFFFFF"/>
                <w:lang w:val="uk-UA" w:eastAsia="ru-RU"/>
              </w:rPr>
              <w:t>, монітор, клавіатура, маніпулятор "миша", операційна система)</w:t>
            </w:r>
          </w:p>
          <w:p w14:paraId="2B266E33" w14:textId="77777777" w:rsidR="00A2320D" w:rsidRPr="00A2320D" w:rsidRDefault="00A2320D" w:rsidP="00A2320D">
            <w:pPr>
              <w:spacing w:after="0" w:line="240" w:lineRule="auto"/>
              <w:rPr>
                <w:rFonts w:eastAsia="Times New Roman"/>
                <w:color w:val="000000"/>
                <w:sz w:val="24"/>
                <w:szCs w:val="24"/>
                <w:shd w:val="clear" w:color="auto" w:fill="FFFFFF"/>
                <w:lang w:val="uk-UA" w:eastAsia="ru-RU"/>
              </w:rPr>
            </w:pPr>
          </w:p>
          <w:p w14:paraId="7C5E6993" w14:textId="77777777" w:rsidR="00A2320D" w:rsidRPr="00A2320D" w:rsidRDefault="00A2320D" w:rsidP="00A2320D">
            <w:pPr>
              <w:spacing w:after="0" w:line="240" w:lineRule="auto"/>
              <w:rPr>
                <w:rFonts w:eastAsia="Times New Roman"/>
                <w:sz w:val="24"/>
                <w:szCs w:val="24"/>
                <w:lang w:val="uk-UA" w:eastAsia="ru-RU"/>
              </w:rPr>
            </w:pPr>
            <w:r w:rsidRPr="00A2320D">
              <w:rPr>
                <w:rFonts w:eastAsia="Times New Roman"/>
                <w:color w:val="000000"/>
                <w:sz w:val="24"/>
                <w:szCs w:val="24"/>
                <w:shd w:val="clear" w:color="auto" w:fill="FFFFFF"/>
                <w:lang w:val="uk-UA" w:eastAsia="ru-RU"/>
              </w:rPr>
              <w:t xml:space="preserve">Ноутбук або планшет (з операційною системою)                                                                                                                                                                                                                                                                                  </w:t>
            </w:r>
          </w:p>
        </w:tc>
        <w:tc>
          <w:tcPr>
            <w:tcW w:w="1036" w:type="dxa"/>
            <w:shd w:val="clear" w:color="auto" w:fill="auto"/>
          </w:tcPr>
          <w:p w14:paraId="4D051E71"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50 000</w:t>
            </w:r>
          </w:p>
          <w:p w14:paraId="586DC092" w14:textId="77777777" w:rsidR="00A2320D" w:rsidRPr="00A2320D" w:rsidRDefault="00A2320D" w:rsidP="00A2320D">
            <w:pPr>
              <w:spacing w:after="0" w:line="240" w:lineRule="auto"/>
              <w:jc w:val="center"/>
              <w:rPr>
                <w:rFonts w:eastAsia="Times New Roman"/>
                <w:sz w:val="24"/>
                <w:szCs w:val="24"/>
                <w:lang w:val="uk-UA" w:eastAsia="ru-RU"/>
              </w:rPr>
            </w:pPr>
          </w:p>
          <w:p w14:paraId="058193FC" w14:textId="77777777" w:rsidR="00A2320D" w:rsidRPr="00A2320D" w:rsidRDefault="00A2320D" w:rsidP="00A2320D">
            <w:pPr>
              <w:spacing w:after="0" w:line="240" w:lineRule="auto"/>
              <w:jc w:val="center"/>
              <w:rPr>
                <w:rFonts w:eastAsia="Times New Roman"/>
                <w:sz w:val="24"/>
                <w:szCs w:val="24"/>
                <w:lang w:val="uk-UA" w:eastAsia="ru-RU"/>
              </w:rPr>
            </w:pPr>
          </w:p>
          <w:p w14:paraId="5716D016"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50 000</w:t>
            </w:r>
          </w:p>
        </w:tc>
      </w:tr>
      <w:tr w:rsidR="00A2320D" w:rsidRPr="00A2320D" w14:paraId="703780F6" w14:textId="77777777" w:rsidTr="00BD2776">
        <w:tc>
          <w:tcPr>
            <w:tcW w:w="8818" w:type="dxa"/>
            <w:shd w:val="clear" w:color="auto" w:fill="auto"/>
          </w:tcPr>
          <w:p w14:paraId="3E045DEC" w14:textId="77777777" w:rsidR="00A2320D" w:rsidRPr="00A2320D" w:rsidRDefault="00A2320D" w:rsidP="00A2320D">
            <w:pPr>
              <w:spacing w:after="0" w:line="240" w:lineRule="auto"/>
              <w:rPr>
                <w:rFonts w:eastAsia="Times New Roman"/>
                <w:color w:val="000000"/>
                <w:sz w:val="24"/>
                <w:szCs w:val="24"/>
                <w:shd w:val="clear" w:color="auto" w:fill="FFFFFF"/>
                <w:lang w:val="uk-UA" w:eastAsia="ru-RU"/>
              </w:rPr>
            </w:pPr>
          </w:p>
        </w:tc>
        <w:tc>
          <w:tcPr>
            <w:tcW w:w="1036" w:type="dxa"/>
            <w:shd w:val="clear" w:color="auto" w:fill="auto"/>
          </w:tcPr>
          <w:p w14:paraId="4893FC01" w14:textId="77777777" w:rsidR="00A2320D" w:rsidRPr="00A2320D" w:rsidRDefault="00A2320D" w:rsidP="00A2320D">
            <w:pPr>
              <w:spacing w:after="0" w:line="240" w:lineRule="auto"/>
              <w:jc w:val="center"/>
              <w:rPr>
                <w:rFonts w:eastAsia="Times New Roman"/>
                <w:sz w:val="24"/>
                <w:szCs w:val="24"/>
                <w:lang w:val="uk-UA" w:eastAsia="ru-RU"/>
              </w:rPr>
            </w:pPr>
          </w:p>
        </w:tc>
      </w:tr>
      <w:tr w:rsidR="00A2320D" w:rsidRPr="00A2320D" w14:paraId="00820B43" w14:textId="77777777" w:rsidTr="00BD2776">
        <w:tc>
          <w:tcPr>
            <w:tcW w:w="8818" w:type="dxa"/>
            <w:shd w:val="clear" w:color="auto" w:fill="auto"/>
          </w:tcPr>
          <w:p w14:paraId="1C5B4BF7" w14:textId="77777777" w:rsidR="00A2320D" w:rsidRPr="00A2320D" w:rsidRDefault="00A2320D" w:rsidP="00A2320D">
            <w:pPr>
              <w:spacing w:after="0" w:line="240" w:lineRule="auto"/>
              <w:rPr>
                <w:rFonts w:eastAsia="Times New Roman"/>
                <w:sz w:val="24"/>
                <w:szCs w:val="24"/>
                <w:lang w:val="uk-UA" w:eastAsia="ru-RU"/>
              </w:rPr>
            </w:pPr>
            <w:r w:rsidRPr="00A2320D">
              <w:rPr>
                <w:rFonts w:eastAsia="Times New Roman"/>
                <w:sz w:val="24"/>
                <w:szCs w:val="24"/>
                <w:lang w:val="uk-UA" w:eastAsia="ru-RU"/>
              </w:rPr>
              <w:t>Комплект меблів для:</w:t>
            </w:r>
          </w:p>
          <w:p w14:paraId="757DFA19" w14:textId="77777777" w:rsidR="00A2320D" w:rsidRPr="00A2320D" w:rsidRDefault="00A2320D" w:rsidP="00A2320D">
            <w:pPr>
              <w:numPr>
                <w:ilvl w:val="0"/>
                <w:numId w:val="3"/>
              </w:numPr>
              <w:spacing w:after="0" w:line="240" w:lineRule="auto"/>
              <w:rPr>
                <w:rFonts w:eastAsia="Times New Roman"/>
                <w:sz w:val="24"/>
                <w:szCs w:val="24"/>
                <w:lang w:val="uk-UA" w:eastAsia="ru-RU"/>
              </w:rPr>
            </w:pPr>
            <w:r w:rsidRPr="00A2320D">
              <w:rPr>
                <w:rFonts w:eastAsia="Times New Roman"/>
                <w:sz w:val="24"/>
                <w:szCs w:val="24"/>
                <w:lang w:val="uk-UA" w:eastAsia="ru-RU"/>
              </w:rPr>
              <w:t>службового кабінету керівника (міський голова, заступник</w:t>
            </w:r>
          </w:p>
          <w:p w14:paraId="7CF09A33" w14:textId="77777777" w:rsidR="00A2320D" w:rsidRPr="00A2320D" w:rsidRDefault="00A2320D" w:rsidP="00A2320D">
            <w:pPr>
              <w:spacing w:after="0" w:line="240" w:lineRule="auto"/>
              <w:ind w:firstLine="851"/>
              <w:rPr>
                <w:rFonts w:eastAsia="Times New Roman"/>
                <w:sz w:val="24"/>
                <w:szCs w:val="24"/>
                <w:lang w:val="uk-UA" w:eastAsia="ru-RU"/>
              </w:rPr>
            </w:pPr>
            <w:r w:rsidRPr="00A2320D">
              <w:rPr>
                <w:rFonts w:eastAsia="Times New Roman"/>
                <w:sz w:val="24"/>
                <w:szCs w:val="24"/>
                <w:lang w:val="uk-UA" w:eastAsia="ru-RU"/>
              </w:rPr>
              <w:t xml:space="preserve">міського голови-начальник управління, секретар ради, керуючий </w:t>
            </w:r>
          </w:p>
          <w:p w14:paraId="35587FF4" w14:textId="77777777" w:rsidR="00A2320D" w:rsidRPr="00A2320D" w:rsidRDefault="00A2320D" w:rsidP="00A2320D">
            <w:pPr>
              <w:spacing w:after="0" w:line="240" w:lineRule="auto"/>
              <w:ind w:firstLine="851"/>
              <w:rPr>
                <w:rFonts w:eastAsia="Times New Roman"/>
                <w:sz w:val="24"/>
                <w:szCs w:val="24"/>
                <w:lang w:val="uk-UA" w:eastAsia="ru-RU"/>
              </w:rPr>
            </w:pPr>
            <w:r w:rsidRPr="00A2320D">
              <w:rPr>
                <w:rFonts w:eastAsia="Times New Roman"/>
                <w:sz w:val="24"/>
                <w:szCs w:val="24"/>
                <w:lang w:val="uk-UA" w:eastAsia="ru-RU"/>
              </w:rPr>
              <w:t>справами виконавчого комітету;</w:t>
            </w:r>
          </w:p>
          <w:p w14:paraId="1F317CFF" w14:textId="77777777" w:rsidR="00A2320D" w:rsidRPr="00A2320D" w:rsidRDefault="00A2320D" w:rsidP="00A2320D">
            <w:pPr>
              <w:numPr>
                <w:ilvl w:val="0"/>
                <w:numId w:val="3"/>
              </w:numPr>
              <w:spacing w:after="0" w:line="240" w:lineRule="auto"/>
              <w:rPr>
                <w:rFonts w:eastAsia="Times New Roman"/>
                <w:sz w:val="24"/>
                <w:szCs w:val="24"/>
                <w:lang w:val="uk-UA" w:eastAsia="ru-RU"/>
              </w:rPr>
            </w:pPr>
            <w:r w:rsidRPr="00A2320D">
              <w:rPr>
                <w:rFonts w:eastAsia="Times New Roman"/>
                <w:sz w:val="24"/>
                <w:szCs w:val="24"/>
                <w:lang w:val="uk-UA" w:eastAsia="ru-RU"/>
              </w:rPr>
              <w:t xml:space="preserve">службового кабінету керівника самостійного управління органів </w:t>
            </w:r>
          </w:p>
          <w:p w14:paraId="489515CF" w14:textId="77777777" w:rsidR="00A2320D" w:rsidRPr="00A2320D" w:rsidRDefault="00A2320D" w:rsidP="00A2320D">
            <w:pPr>
              <w:spacing w:after="0" w:line="240" w:lineRule="auto"/>
              <w:ind w:firstLine="851"/>
              <w:rPr>
                <w:rFonts w:eastAsia="Times New Roman"/>
                <w:sz w:val="24"/>
                <w:szCs w:val="24"/>
                <w:lang w:val="uk-UA" w:eastAsia="ru-RU"/>
              </w:rPr>
            </w:pPr>
            <w:r w:rsidRPr="00A2320D">
              <w:rPr>
                <w:rFonts w:eastAsia="Times New Roman"/>
                <w:sz w:val="24"/>
                <w:szCs w:val="24"/>
                <w:lang w:val="uk-UA" w:eastAsia="ru-RU"/>
              </w:rPr>
              <w:t xml:space="preserve"> місцевого самоврядування, бюджетної установи та організації </w:t>
            </w:r>
          </w:p>
          <w:p w14:paraId="1A727181" w14:textId="77777777" w:rsidR="00A2320D" w:rsidRPr="00A2320D" w:rsidRDefault="00A2320D" w:rsidP="00A2320D">
            <w:pPr>
              <w:spacing w:after="0" w:line="240" w:lineRule="auto"/>
              <w:ind w:left="787"/>
              <w:rPr>
                <w:rFonts w:eastAsia="Times New Roman"/>
                <w:sz w:val="24"/>
                <w:szCs w:val="24"/>
                <w:lang w:val="uk-UA" w:eastAsia="ru-RU"/>
              </w:rPr>
            </w:pPr>
            <w:r w:rsidRPr="00A2320D">
              <w:rPr>
                <w:rFonts w:eastAsia="Times New Roman"/>
                <w:sz w:val="24"/>
                <w:szCs w:val="24"/>
                <w:lang w:val="uk-UA" w:eastAsia="ru-RU"/>
              </w:rPr>
              <w:t xml:space="preserve">                                                                           </w:t>
            </w:r>
          </w:p>
        </w:tc>
        <w:tc>
          <w:tcPr>
            <w:tcW w:w="1036" w:type="dxa"/>
            <w:shd w:val="clear" w:color="auto" w:fill="auto"/>
          </w:tcPr>
          <w:p w14:paraId="33792A65" w14:textId="77777777" w:rsidR="00A2320D" w:rsidRPr="00A2320D" w:rsidRDefault="00A2320D" w:rsidP="00A2320D">
            <w:pPr>
              <w:spacing w:after="0" w:line="240" w:lineRule="auto"/>
              <w:jc w:val="center"/>
              <w:rPr>
                <w:rFonts w:eastAsia="Times New Roman"/>
                <w:sz w:val="24"/>
                <w:szCs w:val="24"/>
                <w:lang w:val="uk-UA" w:eastAsia="ru-RU"/>
              </w:rPr>
            </w:pPr>
          </w:p>
          <w:p w14:paraId="4A5C37F0"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25 000</w:t>
            </w:r>
          </w:p>
          <w:p w14:paraId="4EDAC475" w14:textId="77777777" w:rsidR="00A2320D" w:rsidRPr="00A2320D" w:rsidRDefault="00A2320D" w:rsidP="00A2320D">
            <w:pPr>
              <w:spacing w:after="0" w:line="240" w:lineRule="auto"/>
              <w:jc w:val="center"/>
              <w:rPr>
                <w:rFonts w:eastAsia="Times New Roman"/>
                <w:sz w:val="24"/>
                <w:szCs w:val="24"/>
                <w:lang w:val="uk-UA" w:eastAsia="ru-RU"/>
              </w:rPr>
            </w:pPr>
          </w:p>
          <w:p w14:paraId="39AFA747" w14:textId="77777777" w:rsidR="00A2320D" w:rsidRPr="00A2320D" w:rsidRDefault="00A2320D" w:rsidP="00A2320D">
            <w:pPr>
              <w:spacing w:after="0" w:line="240" w:lineRule="auto"/>
              <w:jc w:val="center"/>
              <w:rPr>
                <w:rFonts w:eastAsia="Times New Roman"/>
                <w:sz w:val="24"/>
                <w:szCs w:val="24"/>
                <w:lang w:val="uk-UA" w:eastAsia="ru-RU"/>
              </w:rPr>
            </w:pPr>
          </w:p>
          <w:p w14:paraId="22B1226A"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18 000</w:t>
            </w:r>
          </w:p>
        </w:tc>
      </w:tr>
      <w:tr w:rsidR="00A2320D" w:rsidRPr="00A2320D" w14:paraId="5BEA41CD" w14:textId="77777777" w:rsidTr="00BD2776">
        <w:tc>
          <w:tcPr>
            <w:tcW w:w="8818" w:type="dxa"/>
            <w:shd w:val="clear" w:color="auto" w:fill="auto"/>
          </w:tcPr>
          <w:p w14:paraId="17F6B926" w14:textId="77777777" w:rsidR="00A2320D" w:rsidRPr="00A2320D" w:rsidRDefault="00A2320D" w:rsidP="00A2320D">
            <w:pPr>
              <w:spacing w:after="0" w:line="240" w:lineRule="auto"/>
              <w:rPr>
                <w:rFonts w:eastAsia="Times New Roman"/>
                <w:sz w:val="24"/>
                <w:szCs w:val="24"/>
                <w:lang w:val="uk-UA" w:eastAsia="ru-RU"/>
              </w:rPr>
            </w:pPr>
            <w:r w:rsidRPr="00A2320D">
              <w:rPr>
                <w:rFonts w:eastAsia="Times New Roman"/>
                <w:sz w:val="24"/>
                <w:szCs w:val="24"/>
                <w:lang w:val="uk-UA" w:eastAsia="ru-RU"/>
              </w:rPr>
              <w:t>Меблі для обладнання робочих місць працівників:</w:t>
            </w:r>
          </w:p>
          <w:p w14:paraId="6F2995EF"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стіл письмовий</w:t>
            </w:r>
          </w:p>
          <w:p w14:paraId="2969E0D5"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крісло офісне</w:t>
            </w:r>
          </w:p>
          <w:p w14:paraId="5DE315EE"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стілець</w:t>
            </w:r>
          </w:p>
          <w:p w14:paraId="6BCD4165"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шафа для одягу</w:t>
            </w:r>
          </w:p>
          <w:p w14:paraId="3C52BC26"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шафа для паперів зі склом</w:t>
            </w:r>
          </w:p>
          <w:p w14:paraId="4D08CC67"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шафа для паперів без скла</w:t>
            </w:r>
          </w:p>
          <w:p w14:paraId="65967A03"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сейф</w:t>
            </w:r>
          </w:p>
          <w:p w14:paraId="58D3A2D3" w14:textId="77777777" w:rsidR="00A2320D" w:rsidRPr="00A2320D" w:rsidRDefault="00A2320D" w:rsidP="00A2320D">
            <w:pPr>
              <w:numPr>
                <w:ilvl w:val="0"/>
                <w:numId w:val="2"/>
              </w:numPr>
              <w:spacing w:after="0" w:line="240" w:lineRule="auto"/>
              <w:rPr>
                <w:rFonts w:eastAsia="Times New Roman"/>
                <w:sz w:val="24"/>
                <w:szCs w:val="24"/>
                <w:lang w:val="uk-UA" w:eastAsia="ru-RU"/>
              </w:rPr>
            </w:pPr>
            <w:r w:rsidRPr="00A2320D">
              <w:rPr>
                <w:rFonts w:eastAsia="Times New Roman"/>
                <w:sz w:val="24"/>
                <w:szCs w:val="24"/>
                <w:lang w:val="uk-UA" w:eastAsia="ru-RU"/>
              </w:rPr>
              <w:t>стіл для комп’ютера</w:t>
            </w:r>
          </w:p>
          <w:p w14:paraId="4A1A5B68" w14:textId="77777777" w:rsidR="00A2320D" w:rsidRPr="00A2320D" w:rsidRDefault="00A2320D" w:rsidP="00A2320D">
            <w:pPr>
              <w:spacing w:after="0" w:line="240" w:lineRule="auto"/>
              <w:rPr>
                <w:rFonts w:eastAsia="Times New Roman"/>
                <w:color w:val="000000"/>
                <w:sz w:val="24"/>
                <w:szCs w:val="24"/>
                <w:shd w:val="clear" w:color="auto" w:fill="FFFFFF"/>
                <w:lang w:val="uk-UA" w:eastAsia="ru-RU"/>
              </w:rPr>
            </w:pPr>
          </w:p>
          <w:p w14:paraId="70318E0E" w14:textId="77777777" w:rsidR="00A2320D" w:rsidRPr="00A2320D" w:rsidRDefault="00A2320D" w:rsidP="00A2320D">
            <w:pPr>
              <w:spacing w:after="0" w:line="240" w:lineRule="auto"/>
              <w:rPr>
                <w:rFonts w:eastAsia="Times New Roman"/>
                <w:sz w:val="24"/>
                <w:szCs w:val="24"/>
                <w:lang w:val="uk-UA" w:eastAsia="ru-RU"/>
              </w:rPr>
            </w:pPr>
            <w:r w:rsidRPr="00A2320D">
              <w:rPr>
                <w:rFonts w:eastAsia="Times New Roman"/>
                <w:color w:val="000000"/>
                <w:sz w:val="24"/>
                <w:szCs w:val="24"/>
                <w:shd w:val="clear" w:color="auto" w:fill="FFFFFF"/>
                <w:lang w:val="uk-UA" w:eastAsia="ru-RU"/>
              </w:rPr>
              <w:t>Легкові автомобілі для обслуговування посадових осіб Південнівської міської ради Одеського району Одеської області та її виконавчих органів</w:t>
            </w:r>
            <w:r w:rsidRPr="00A2320D">
              <w:rPr>
                <w:rFonts w:eastAsia="Times New Roman"/>
                <w:sz w:val="24"/>
                <w:szCs w:val="24"/>
                <w:lang w:val="uk-UA" w:eastAsia="ru-RU"/>
              </w:rPr>
              <w:t xml:space="preserve">, </w:t>
            </w:r>
            <w:r w:rsidRPr="00A2320D">
              <w:rPr>
                <w:rFonts w:eastAsia="Times New Roman"/>
                <w:color w:val="000000"/>
                <w:sz w:val="24"/>
                <w:szCs w:val="24"/>
                <w:shd w:val="clear" w:color="auto" w:fill="FFFFFF"/>
                <w:lang w:val="uk-UA" w:eastAsia="ru-RU"/>
              </w:rPr>
              <w:t>керівників бюджетних установ і організацій.</w:t>
            </w:r>
            <w:r w:rsidRPr="00A2320D">
              <w:rPr>
                <w:rFonts w:ascii="Arial" w:eastAsia="Times New Roman" w:hAnsi="Arial" w:cs="Arial"/>
                <w:color w:val="000000"/>
                <w:sz w:val="24"/>
                <w:szCs w:val="24"/>
                <w:shd w:val="clear" w:color="auto" w:fill="FFFFFF"/>
                <w:lang w:val="uk-UA" w:eastAsia="ru-RU"/>
              </w:rPr>
              <w:br/>
            </w:r>
            <w:r w:rsidRPr="00A2320D">
              <w:rPr>
                <w:rFonts w:ascii="Arial" w:eastAsia="Times New Roman" w:hAnsi="Arial" w:cs="Arial"/>
                <w:color w:val="000000"/>
                <w:sz w:val="20"/>
                <w:szCs w:val="20"/>
                <w:shd w:val="clear" w:color="auto" w:fill="FFFFFF"/>
                <w:lang w:val="uk-UA" w:eastAsia="ru-RU"/>
              </w:rPr>
              <w:br/>
            </w:r>
            <w:proofErr w:type="spellStart"/>
            <w:r w:rsidRPr="00A2320D">
              <w:rPr>
                <w:rFonts w:eastAsia="Times New Roman"/>
                <w:sz w:val="24"/>
                <w:szCs w:val="24"/>
                <w:lang w:val="uk-UA" w:eastAsia="ru-RU"/>
              </w:rPr>
              <w:t>Теле</w:t>
            </w:r>
            <w:proofErr w:type="spellEnd"/>
            <w:r w:rsidRPr="00A2320D">
              <w:rPr>
                <w:rFonts w:eastAsia="Times New Roman"/>
                <w:sz w:val="24"/>
                <w:szCs w:val="24"/>
                <w:lang w:val="uk-UA" w:eastAsia="ru-RU"/>
              </w:rPr>
              <w:t>- і радіоапаратура, відеотехніка для службових кабінетів</w:t>
            </w:r>
          </w:p>
        </w:tc>
        <w:tc>
          <w:tcPr>
            <w:tcW w:w="1036" w:type="dxa"/>
            <w:shd w:val="clear" w:color="auto" w:fill="auto"/>
          </w:tcPr>
          <w:p w14:paraId="382390CB" w14:textId="77777777" w:rsidR="00A2320D" w:rsidRPr="00A2320D" w:rsidRDefault="00A2320D" w:rsidP="00A2320D">
            <w:pPr>
              <w:spacing w:after="0" w:line="240" w:lineRule="auto"/>
              <w:jc w:val="center"/>
              <w:rPr>
                <w:rFonts w:eastAsia="Times New Roman"/>
                <w:sz w:val="24"/>
                <w:szCs w:val="24"/>
                <w:lang w:val="uk-UA" w:eastAsia="ru-RU"/>
              </w:rPr>
            </w:pPr>
          </w:p>
          <w:p w14:paraId="47769031"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3 000</w:t>
            </w:r>
          </w:p>
          <w:p w14:paraId="2A86767A"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2 500</w:t>
            </w:r>
          </w:p>
          <w:p w14:paraId="037BF586"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1 500</w:t>
            </w:r>
          </w:p>
          <w:p w14:paraId="4586C8EE" w14:textId="77777777" w:rsidR="00A2320D" w:rsidRPr="00A2320D" w:rsidRDefault="00A2320D" w:rsidP="00A2320D">
            <w:pPr>
              <w:tabs>
                <w:tab w:val="left" w:pos="630"/>
              </w:tabs>
              <w:spacing w:after="0" w:line="240" w:lineRule="auto"/>
              <w:jc w:val="center"/>
              <w:rPr>
                <w:rFonts w:eastAsia="Times New Roman"/>
                <w:sz w:val="24"/>
                <w:szCs w:val="24"/>
                <w:lang w:val="uk-UA" w:eastAsia="ru-RU"/>
              </w:rPr>
            </w:pPr>
            <w:r w:rsidRPr="00A2320D">
              <w:rPr>
                <w:rFonts w:eastAsia="Times New Roman"/>
                <w:sz w:val="24"/>
                <w:szCs w:val="24"/>
                <w:lang w:val="uk-UA" w:eastAsia="ru-RU"/>
              </w:rPr>
              <w:t>4 000</w:t>
            </w:r>
          </w:p>
          <w:p w14:paraId="5ED73597"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4 000</w:t>
            </w:r>
          </w:p>
          <w:p w14:paraId="012FC79D"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3 000</w:t>
            </w:r>
          </w:p>
          <w:p w14:paraId="210978C6"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10 000</w:t>
            </w:r>
          </w:p>
          <w:p w14:paraId="036B1A41"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3 000</w:t>
            </w:r>
          </w:p>
          <w:p w14:paraId="3EDAD1D2" w14:textId="77777777" w:rsidR="00A2320D" w:rsidRPr="00A2320D" w:rsidRDefault="00A2320D" w:rsidP="00A2320D">
            <w:pPr>
              <w:spacing w:after="0" w:line="240" w:lineRule="auto"/>
              <w:jc w:val="center"/>
              <w:rPr>
                <w:rFonts w:eastAsia="Times New Roman"/>
                <w:sz w:val="24"/>
                <w:szCs w:val="24"/>
                <w:lang w:val="uk-UA" w:eastAsia="ru-RU"/>
              </w:rPr>
            </w:pPr>
          </w:p>
          <w:p w14:paraId="6BB028D6"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900 000</w:t>
            </w:r>
          </w:p>
          <w:p w14:paraId="601B7D18" w14:textId="77777777" w:rsidR="00A2320D" w:rsidRPr="00A2320D" w:rsidRDefault="00A2320D" w:rsidP="00A2320D">
            <w:pPr>
              <w:spacing w:after="0" w:line="240" w:lineRule="auto"/>
              <w:jc w:val="center"/>
              <w:rPr>
                <w:rFonts w:eastAsia="Times New Roman"/>
                <w:sz w:val="24"/>
                <w:szCs w:val="24"/>
                <w:lang w:val="uk-UA" w:eastAsia="ru-RU"/>
              </w:rPr>
            </w:pPr>
          </w:p>
          <w:p w14:paraId="199AFC87" w14:textId="77777777" w:rsidR="00A2320D" w:rsidRPr="00A2320D" w:rsidRDefault="00A2320D" w:rsidP="00A2320D">
            <w:pPr>
              <w:spacing w:after="0" w:line="240" w:lineRule="auto"/>
              <w:jc w:val="center"/>
              <w:rPr>
                <w:rFonts w:eastAsia="Times New Roman"/>
                <w:sz w:val="24"/>
                <w:szCs w:val="24"/>
                <w:lang w:val="uk-UA" w:eastAsia="ru-RU"/>
              </w:rPr>
            </w:pPr>
          </w:p>
          <w:p w14:paraId="69D695B7" w14:textId="77777777" w:rsidR="00A2320D" w:rsidRPr="00A2320D" w:rsidRDefault="00A2320D" w:rsidP="00A2320D">
            <w:pPr>
              <w:spacing w:after="0" w:line="240" w:lineRule="auto"/>
              <w:jc w:val="center"/>
              <w:rPr>
                <w:rFonts w:eastAsia="Times New Roman"/>
                <w:sz w:val="24"/>
                <w:szCs w:val="24"/>
                <w:lang w:val="uk-UA" w:eastAsia="ru-RU"/>
              </w:rPr>
            </w:pPr>
          </w:p>
          <w:p w14:paraId="683A830A" w14:textId="77777777" w:rsidR="00A2320D" w:rsidRPr="00A2320D" w:rsidRDefault="00A2320D" w:rsidP="00A2320D">
            <w:pPr>
              <w:spacing w:after="0" w:line="240" w:lineRule="auto"/>
              <w:jc w:val="center"/>
              <w:rPr>
                <w:rFonts w:eastAsia="Times New Roman"/>
                <w:sz w:val="24"/>
                <w:szCs w:val="24"/>
                <w:lang w:val="uk-UA" w:eastAsia="ru-RU"/>
              </w:rPr>
            </w:pPr>
            <w:r w:rsidRPr="00A2320D">
              <w:rPr>
                <w:rFonts w:eastAsia="Times New Roman"/>
                <w:sz w:val="24"/>
                <w:szCs w:val="24"/>
                <w:lang w:val="uk-UA" w:eastAsia="ru-RU"/>
              </w:rPr>
              <w:t>25 000</w:t>
            </w:r>
          </w:p>
          <w:p w14:paraId="27C2169D" w14:textId="77777777" w:rsidR="00A2320D" w:rsidRPr="00A2320D" w:rsidRDefault="00A2320D" w:rsidP="00A2320D">
            <w:pPr>
              <w:spacing w:after="0" w:line="240" w:lineRule="auto"/>
              <w:jc w:val="center"/>
              <w:rPr>
                <w:rFonts w:eastAsia="Times New Roman"/>
                <w:sz w:val="24"/>
                <w:szCs w:val="24"/>
                <w:lang w:val="uk-UA" w:eastAsia="ru-RU"/>
              </w:rPr>
            </w:pPr>
          </w:p>
        </w:tc>
      </w:tr>
    </w:tbl>
    <w:p w14:paraId="44EB3B3A" w14:textId="77777777" w:rsidR="00A2320D" w:rsidRPr="00A2320D" w:rsidRDefault="00A2320D" w:rsidP="00A2320D">
      <w:pPr>
        <w:spacing w:after="0" w:line="240" w:lineRule="auto"/>
        <w:rPr>
          <w:rFonts w:ascii="Arial" w:eastAsia="Times New Roman" w:hAnsi="Arial" w:cs="Arial"/>
          <w:color w:val="000000"/>
          <w:sz w:val="20"/>
          <w:szCs w:val="20"/>
          <w:lang w:val="uk-UA" w:eastAsia="ru-RU"/>
        </w:rPr>
      </w:pPr>
      <w:r w:rsidRPr="00A2320D">
        <w:rPr>
          <w:rFonts w:eastAsia="Times New Roman"/>
          <w:sz w:val="24"/>
          <w:szCs w:val="24"/>
          <w:u w:val="single"/>
          <w:lang w:val="uk-UA" w:eastAsia="ru-RU"/>
        </w:rPr>
        <w:t>Примітка.</w:t>
      </w:r>
      <w:r w:rsidRPr="00A2320D">
        <w:rPr>
          <w:rFonts w:eastAsia="Times New Roman"/>
          <w:sz w:val="24"/>
          <w:szCs w:val="24"/>
          <w:lang w:val="uk-UA" w:eastAsia="ru-RU"/>
        </w:rPr>
        <w:t xml:space="preserve">  </w:t>
      </w:r>
      <w:r w:rsidRPr="00A2320D">
        <w:rPr>
          <w:rFonts w:eastAsia="Times New Roman"/>
          <w:color w:val="000000"/>
          <w:sz w:val="24"/>
          <w:szCs w:val="24"/>
          <w:shd w:val="clear" w:color="auto" w:fill="FFFFFF"/>
          <w:lang w:val="uk-UA" w:eastAsia="ru-RU"/>
        </w:rPr>
        <w:t>Затверджені граничні суми витрат призначені для придбання комплектних легкових автомобілів, меблів, обладнання, устаткування, а не окремих деталей (предметів).</w:t>
      </w:r>
    </w:p>
    <w:p w14:paraId="2BD31014" w14:textId="77777777" w:rsidR="002F4DB5" w:rsidRDefault="002F4DB5">
      <w:pPr>
        <w:rPr>
          <w:lang w:val="uk-UA"/>
        </w:rPr>
      </w:pPr>
    </w:p>
    <w:p w14:paraId="4FBE12EF" w14:textId="6ED6874D" w:rsidR="003170EE" w:rsidRPr="00A2320D" w:rsidRDefault="003170EE" w:rsidP="00A2320D">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sectPr w:rsidR="003170EE" w:rsidRPr="00A2320D" w:rsidSect="00077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80007"/>
    <w:multiLevelType w:val="hybridMultilevel"/>
    <w:tmpl w:val="6CBE47AC"/>
    <w:lvl w:ilvl="0" w:tplc="1A6AD496">
      <w:start w:val="1"/>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 w15:restartNumberingAfterBreak="0">
    <w:nsid w:val="5EFC218C"/>
    <w:multiLevelType w:val="hybridMultilevel"/>
    <w:tmpl w:val="7294F6E8"/>
    <w:lvl w:ilvl="0" w:tplc="85103930">
      <w:start w:val="5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16cid:durableId="185558032">
    <w:abstractNumId w:val="1"/>
    <w:lvlOverride w:ilvl="0">
      <w:startOverride w:val="1"/>
    </w:lvlOverride>
    <w:lvlOverride w:ilvl="1"/>
    <w:lvlOverride w:ilvl="2"/>
    <w:lvlOverride w:ilvl="3"/>
    <w:lvlOverride w:ilvl="4"/>
    <w:lvlOverride w:ilvl="5"/>
    <w:lvlOverride w:ilvl="6"/>
    <w:lvlOverride w:ilvl="7"/>
    <w:lvlOverride w:ilvl="8"/>
  </w:num>
  <w:num w:numId="2" w16cid:durableId="585463127">
    <w:abstractNumId w:val="0"/>
  </w:num>
  <w:num w:numId="3" w16cid:durableId="105384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6"/>
    <w:rsid w:val="00077B26"/>
    <w:rsid w:val="000A5B34"/>
    <w:rsid w:val="001559DF"/>
    <w:rsid w:val="002674D0"/>
    <w:rsid w:val="002C7FB0"/>
    <w:rsid w:val="002F4DB5"/>
    <w:rsid w:val="00307D05"/>
    <w:rsid w:val="003170EE"/>
    <w:rsid w:val="003B0FD6"/>
    <w:rsid w:val="00553BB9"/>
    <w:rsid w:val="006C30CF"/>
    <w:rsid w:val="006C7DE2"/>
    <w:rsid w:val="00741FEC"/>
    <w:rsid w:val="007A02BB"/>
    <w:rsid w:val="008641C9"/>
    <w:rsid w:val="008C272F"/>
    <w:rsid w:val="00912A4E"/>
    <w:rsid w:val="00A2320D"/>
    <w:rsid w:val="00B84F96"/>
    <w:rsid w:val="00B96ABB"/>
    <w:rsid w:val="00BE30C0"/>
    <w:rsid w:val="00C0082A"/>
    <w:rsid w:val="00C93D27"/>
    <w:rsid w:val="00CB11DB"/>
    <w:rsid w:val="00D77060"/>
    <w:rsid w:val="00D875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5B55"/>
  <w15:chartTrackingRefBased/>
  <w15:docId w15:val="{58C49EE5-2397-4DF2-9A32-0F843D6B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0EE"/>
    <w:pPr>
      <w:spacing w:after="200" w:line="276" w:lineRule="auto"/>
    </w:pPr>
    <w:rPr>
      <w:rFonts w:eastAsia="SimSun"/>
      <w:bCs w:val="0"/>
      <w:kern w:val="0"/>
      <w:sz w:val="22"/>
      <w:szCs w:val="22"/>
      <w:lang w:eastAsia="en-US"/>
      <w14:ligatures w14:val="none"/>
    </w:rPr>
  </w:style>
  <w:style w:type="paragraph" w:styleId="1">
    <w:name w:val="heading 1"/>
    <w:basedOn w:val="a"/>
    <w:next w:val="a"/>
    <w:link w:val="10"/>
    <w:uiPriority w:val="9"/>
    <w:qFormat/>
    <w:rsid w:val="00D87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87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875B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875B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875B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875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875B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875B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875B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5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75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75B6"/>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D875B6"/>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D875B6"/>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D875B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875B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875B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875B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87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87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D875B6"/>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875B6"/>
    <w:pPr>
      <w:spacing w:before="160"/>
      <w:jc w:val="center"/>
    </w:pPr>
    <w:rPr>
      <w:i/>
      <w:iCs/>
      <w:color w:val="404040" w:themeColor="text1" w:themeTint="BF"/>
    </w:rPr>
  </w:style>
  <w:style w:type="character" w:customStyle="1" w:styleId="a8">
    <w:name w:val="Цитата Знак"/>
    <w:basedOn w:val="a0"/>
    <w:link w:val="a7"/>
    <w:uiPriority w:val="29"/>
    <w:rsid w:val="00D875B6"/>
    <w:rPr>
      <w:i/>
      <w:iCs/>
      <w:color w:val="404040" w:themeColor="text1" w:themeTint="BF"/>
    </w:rPr>
  </w:style>
  <w:style w:type="paragraph" w:styleId="a9">
    <w:name w:val="List Paragraph"/>
    <w:basedOn w:val="a"/>
    <w:uiPriority w:val="34"/>
    <w:qFormat/>
    <w:rsid w:val="00D875B6"/>
    <w:pPr>
      <w:ind w:left="720"/>
      <w:contextualSpacing/>
    </w:pPr>
  </w:style>
  <w:style w:type="character" w:styleId="aa">
    <w:name w:val="Intense Emphasis"/>
    <w:basedOn w:val="a0"/>
    <w:uiPriority w:val="21"/>
    <w:qFormat/>
    <w:rsid w:val="00D875B6"/>
    <w:rPr>
      <w:i/>
      <w:iCs/>
      <w:color w:val="2F5496" w:themeColor="accent1" w:themeShade="BF"/>
    </w:rPr>
  </w:style>
  <w:style w:type="paragraph" w:styleId="ab">
    <w:name w:val="Intense Quote"/>
    <w:basedOn w:val="a"/>
    <w:next w:val="a"/>
    <w:link w:val="ac"/>
    <w:uiPriority w:val="30"/>
    <w:qFormat/>
    <w:rsid w:val="00D87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875B6"/>
    <w:rPr>
      <w:i/>
      <w:iCs/>
      <w:color w:val="2F5496" w:themeColor="accent1" w:themeShade="BF"/>
    </w:rPr>
  </w:style>
  <w:style w:type="character" w:styleId="ad">
    <w:name w:val="Intense Reference"/>
    <w:basedOn w:val="a0"/>
    <w:uiPriority w:val="32"/>
    <w:qFormat/>
    <w:rsid w:val="00D875B6"/>
    <w:rPr>
      <w:b/>
      <w:bCs w:val="0"/>
      <w:smallCaps/>
      <w:color w:val="2F5496" w:themeColor="accent1" w:themeShade="BF"/>
      <w:spacing w:val="5"/>
    </w:rPr>
  </w:style>
  <w:style w:type="paragraph" w:styleId="ae">
    <w:name w:val="Balloon Text"/>
    <w:basedOn w:val="a"/>
    <w:link w:val="af"/>
    <w:uiPriority w:val="99"/>
    <w:semiHidden/>
    <w:unhideWhenUsed/>
    <w:rsid w:val="00BE30C0"/>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BE30C0"/>
    <w:rPr>
      <w:rFonts w:ascii="Segoe UI" w:eastAsia="SimSun" w:hAnsi="Segoe UI" w:cs="Segoe UI"/>
      <w:bCs w:val="0"/>
      <w:kern w:val="0"/>
      <w:sz w:val="18"/>
      <w:szCs w:val="18"/>
      <w:lang w:eastAsia="en-US"/>
      <w14:ligatures w14:val="non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84F96"/>
    <w:pPr>
      <w:spacing w:before="100" w:beforeAutospacing="1" w:after="100" w:afterAutospacing="1" w:line="240" w:lineRule="auto"/>
    </w:pPr>
    <w:rPr>
      <w:rFonts w:eastAsia="Times New Roman"/>
      <w:sz w:val="24"/>
      <w:szCs w:val="24"/>
      <w:lang w:eastAsia="ru-RU"/>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B84F96"/>
    <w:pPr>
      <w:spacing w:before="100" w:beforeAutospacing="1" w:after="100" w:afterAutospacing="1" w:line="240" w:lineRule="auto"/>
    </w:pPr>
    <w:rPr>
      <w:rFonts w:eastAsia="Times New Roman"/>
      <w:sz w:val="24"/>
      <w:szCs w:val="24"/>
      <w:lang w:val="uk-UA" w:eastAsia="uk-UA"/>
    </w:rPr>
  </w:style>
  <w:style w:type="table" w:customStyle="1" w:styleId="11">
    <w:name w:val="Сетка таблицы1"/>
    <w:basedOn w:val="a1"/>
    <w:next w:val="af1"/>
    <w:uiPriority w:val="39"/>
    <w:rsid w:val="00B84F96"/>
    <w:pPr>
      <w:spacing w:after="0" w:line="240" w:lineRule="auto"/>
    </w:pPr>
    <w:rPr>
      <w:rFonts w:ascii="Calibri" w:eastAsia="Calibri" w:hAnsi="Calibri"/>
      <w:bCs w:val="0"/>
      <w:kern w:val="0"/>
      <w:sz w:val="22"/>
      <w:szCs w:val="22"/>
      <w:lang w:val="uk-U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B8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225">
      <w:bodyDiv w:val="1"/>
      <w:marLeft w:val="0"/>
      <w:marRight w:val="0"/>
      <w:marTop w:val="0"/>
      <w:marBottom w:val="0"/>
      <w:divBdr>
        <w:top w:val="none" w:sz="0" w:space="0" w:color="auto"/>
        <w:left w:val="none" w:sz="0" w:space="0" w:color="auto"/>
        <w:bottom w:val="none" w:sz="0" w:space="0" w:color="auto"/>
        <w:right w:val="none" w:sz="0" w:space="0" w:color="auto"/>
      </w:divBdr>
    </w:div>
    <w:div w:id="625086113">
      <w:bodyDiv w:val="1"/>
      <w:marLeft w:val="0"/>
      <w:marRight w:val="0"/>
      <w:marTop w:val="0"/>
      <w:marBottom w:val="0"/>
      <w:divBdr>
        <w:top w:val="none" w:sz="0" w:space="0" w:color="auto"/>
        <w:left w:val="none" w:sz="0" w:space="0" w:color="auto"/>
        <w:bottom w:val="none" w:sz="0" w:space="0" w:color="auto"/>
        <w:right w:val="none" w:sz="0" w:space="0" w:color="auto"/>
      </w:divBdr>
    </w:div>
    <w:div w:id="823620606">
      <w:bodyDiv w:val="1"/>
      <w:marLeft w:val="0"/>
      <w:marRight w:val="0"/>
      <w:marTop w:val="0"/>
      <w:marBottom w:val="0"/>
      <w:divBdr>
        <w:top w:val="none" w:sz="0" w:space="0" w:color="auto"/>
        <w:left w:val="none" w:sz="0" w:space="0" w:color="auto"/>
        <w:bottom w:val="none" w:sz="0" w:space="0" w:color="auto"/>
        <w:right w:val="none" w:sz="0" w:space="0" w:color="auto"/>
      </w:divBdr>
    </w:div>
    <w:div w:id="935789098">
      <w:bodyDiv w:val="1"/>
      <w:marLeft w:val="0"/>
      <w:marRight w:val="0"/>
      <w:marTop w:val="0"/>
      <w:marBottom w:val="0"/>
      <w:divBdr>
        <w:top w:val="none" w:sz="0" w:space="0" w:color="auto"/>
        <w:left w:val="none" w:sz="0" w:space="0" w:color="auto"/>
        <w:bottom w:val="none" w:sz="0" w:space="0" w:color="auto"/>
        <w:right w:val="none" w:sz="0" w:space="0" w:color="auto"/>
      </w:divBdr>
    </w:div>
    <w:div w:id="996299441">
      <w:bodyDiv w:val="1"/>
      <w:marLeft w:val="0"/>
      <w:marRight w:val="0"/>
      <w:marTop w:val="0"/>
      <w:marBottom w:val="0"/>
      <w:divBdr>
        <w:top w:val="none" w:sz="0" w:space="0" w:color="auto"/>
        <w:left w:val="none" w:sz="0" w:space="0" w:color="auto"/>
        <w:bottom w:val="none" w:sz="0" w:space="0" w:color="auto"/>
        <w:right w:val="none" w:sz="0" w:space="0" w:color="auto"/>
      </w:divBdr>
    </w:div>
    <w:div w:id="1433360511">
      <w:bodyDiv w:val="1"/>
      <w:marLeft w:val="0"/>
      <w:marRight w:val="0"/>
      <w:marTop w:val="0"/>
      <w:marBottom w:val="0"/>
      <w:divBdr>
        <w:top w:val="none" w:sz="0" w:space="0" w:color="auto"/>
        <w:left w:val="none" w:sz="0" w:space="0" w:color="auto"/>
        <w:bottom w:val="none" w:sz="0" w:space="0" w:color="auto"/>
        <w:right w:val="none" w:sz="0" w:space="0" w:color="auto"/>
      </w:divBdr>
    </w:div>
    <w:div w:id="1650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1292</Words>
  <Characters>738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2</cp:revision>
  <cp:lastPrinted>2025-07-25T07:15:00Z</cp:lastPrinted>
  <dcterms:created xsi:type="dcterms:W3CDTF">2025-07-31T10:03:00Z</dcterms:created>
  <dcterms:modified xsi:type="dcterms:W3CDTF">2025-07-31T10:03:00Z</dcterms:modified>
</cp:coreProperties>
</file>