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55520FA4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482EEE81" w14:textId="331F7206" w:rsidR="00FD6645" w:rsidRPr="00FD6645" w:rsidRDefault="00FD664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657C4170" w14:textId="14A48774" w:rsidR="009F5481" w:rsidRDefault="009F5481" w:rsidP="00F149B1">
      <w:pPr>
        <w:rPr>
          <w:sz w:val="22"/>
          <w:szCs w:val="22"/>
          <w:lang w:val="uk-UA"/>
        </w:rPr>
      </w:pPr>
    </w:p>
    <w:p w14:paraId="06ED3CCB" w14:textId="5641EE71" w:rsidR="008A61C3" w:rsidRDefault="008A61C3" w:rsidP="00F149B1">
      <w:pPr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FD6645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FD6645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51D774E8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Южненської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lastRenderedPageBreak/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01178715" w:rsidR="00B03D60" w:rsidRPr="006A5229" w:rsidRDefault="000A5D40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716</w:t>
            </w:r>
            <w:r w:rsidR="008E0E22">
              <w:rPr>
                <w:b/>
                <w:lang w:val="uk-UA"/>
              </w:rPr>
              <w:t> 216,023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4DE304AC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708</w:t>
            </w:r>
            <w:r w:rsidR="008E0E22">
              <w:rPr>
                <w:b/>
                <w:lang w:val="uk-UA"/>
              </w:rPr>
              <w:t> 218,047</w:t>
            </w:r>
            <w:r w:rsidR="00F10294" w:rsidRPr="006A5229">
              <w:rPr>
                <w:b/>
                <w:lang w:val="uk-UA"/>
              </w:rPr>
              <w:t xml:space="preserve"> 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22B39B9C" w:rsidR="00971B1A" w:rsidRPr="007F5F37" w:rsidRDefault="001F0766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067A3B03" w14:textId="77777777" w:rsidR="006E1ABC" w:rsidRDefault="006E1ABC" w:rsidP="002031BD">
      <w:pPr>
        <w:spacing w:line="360" w:lineRule="auto"/>
        <w:jc w:val="center"/>
        <w:rPr>
          <w:b/>
          <w:lang w:val="uk-UA"/>
        </w:rPr>
      </w:pPr>
    </w:p>
    <w:p w14:paraId="11073FA8" w14:textId="77777777" w:rsidR="009D1FD8" w:rsidRDefault="009D1FD8" w:rsidP="002031BD">
      <w:pPr>
        <w:spacing w:line="360" w:lineRule="auto"/>
        <w:jc w:val="center"/>
        <w:rPr>
          <w:b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lastRenderedPageBreak/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7A2BD8DC" w14:textId="17671D01" w:rsidR="001E2D26" w:rsidRPr="001E2D26" w:rsidRDefault="001E2D26" w:rsidP="001E2D26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195E18" w:rsidRDefault="00881B7F" w:rsidP="00881B7F">
      <w:pPr>
        <w:tabs>
          <w:tab w:val="left" w:pos="1000"/>
        </w:tabs>
        <w:ind w:left="1000"/>
        <w:jc w:val="both"/>
        <w:rPr>
          <w:b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</w:t>
      </w:r>
      <w:r w:rsidR="00911978" w:rsidRPr="001E2D26">
        <w:rPr>
          <w:lang w:val="uk-UA"/>
        </w:rPr>
        <w:lastRenderedPageBreak/>
        <w:t>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="00641F73"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195E18" w:rsidRDefault="00666F7A" w:rsidP="00666F7A">
      <w:pPr>
        <w:pStyle w:val="a5"/>
        <w:ind w:firstLine="708"/>
        <w:rPr>
          <w:b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lastRenderedPageBreak/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75E3F508" w14:textId="77777777" w:rsidR="00036B47" w:rsidRDefault="00036B47" w:rsidP="00451423">
      <w:pPr>
        <w:pStyle w:val="2"/>
        <w:spacing w:before="60" w:after="0" w:line="276" w:lineRule="auto"/>
        <w:jc w:val="both"/>
        <w:rPr>
          <w:lang w:val="uk-UA"/>
        </w:rPr>
      </w:pP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60F1AFEE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08ADF938" w14:textId="7777777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Pr="006472EC">
        <w:rPr>
          <w:b/>
          <w:lang w:val="uk-UA"/>
        </w:rPr>
        <w:tab/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lastRenderedPageBreak/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</w:t>
      </w:r>
      <w:proofErr w:type="spellStart"/>
      <w:r w:rsidRPr="006472EC">
        <w:rPr>
          <w:lang w:val="uk-UA"/>
        </w:rPr>
        <w:t>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</w:t>
      </w:r>
      <w:proofErr w:type="spellEnd"/>
      <w:r w:rsidRPr="006472EC">
        <w:rPr>
          <w:lang w:val="uk-UA"/>
        </w:rPr>
        <w:t>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24747C">
        <w:trPr>
          <w:trHeight w:val="835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540AFED0" w:rsidR="006472EC" w:rsidRPr="00202C22" w:rsidRDefault="00B60468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384</w:t>
            </w:r>
            <w:r>
              <w:rPr>
                <w:b/>
                <w:lang w:val="uk-UA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755,616</w:t>
            </w:r>
          </w:p>
        </w:tc>
        <w:tc>
          <w:tcPr>
            <w:tcW w:w="1559" w:type="dxa"/>
            <w:vAlign w:val="center"/>
          </w:tcPr>
          <w:p w14:paraId="1AD7662A" w14:textId="3635EE60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95</w:t>
            </w:r>
            <w:r w:rsidR="00FD16EF">
              <w:rPr>
                <w:b/>
                <w:lang w:val="uk-UA"/>
              </w:rPr>
              <w:t> </w:t>
            </w:r>
            <w:r w:rsidR="00FD16EF">
              <w:rPr>
                <w:bCs/>
                <w:sz w:val="22"/>
                <w:szCs w:val="22"/>
                <w:lang w:val="uk-UA"/>
              </w:rPr>
              <w:t>739,557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0F1328E5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716</w:t>
            </w:r>
            <w:r w:rsidR="00FD16EF"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 216,023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3933CD44" w:rsidR="006472EC" w:rsidRPr="00202C22" w:rsidRDefault="006472EC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13568C03" w:rsidR="006472EC" w:rsidRPr="00202C22" w:rsidRDefault="006472EC" w:rsidP="006472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7A814BB8" w:rsidR="006472EC" w:rsidRPr="00202C22" w:rsidRDefault="00B60468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376</w:t>
            </w:r>
            <w:r>
              <w:rPr>
                <w:b/>
                <w:lang w:val="uk-UA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757,640</w:t>
            </w:r>
          </w:p>
        </w:tc>
        <w:tc>
          <w:tcPr>
            <w:tcW w:w="1559" w:type="dxa"/>
            <w:vAlign w:val="center"/>
          </w:tcPr>
          <w:p w14:paraId="65C0AA0F" w14:textId="0DC9C041" w:rsidR="006472EC" w:rsidRPr="00FD16EF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Cs/>
                <w:sz w:val="22"/>
                <w:szCs w:val="22"/>
                <w:lang w:val="uk-UA"/>
              </w:rPr>
              <w:t>1</w:t>
            </w:r>
            <w:r w:rsidR="000A5D40" w:rsidRPr="00FD16EF">
              <w:rPr>
                <w:bCs/>
                <w:sz w:val="22"/>
                <w:szCs w:val="22"/>
                <w:lang w:val="uk-UA"/>
              </w:rPr>
              <w:t>95</w:t>
            </w:r>
            <w:r w:rsidR="00FD16EF" w:rsidRPr="00FD16EF">
              <w:rPr>
                <w:bCs/>
                <w:sz w:val="22"/>
                <w:szCs w:val="22"/>
                <w:lang w:val="uk-UA"/>
              </w:rPr>
              <w:t> 739,557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0F64F351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3605FD">
              <w:rPr>
                <w:b/>
                <w:color w:val="000000" w:themeColor="text1"/>
                <w:sz w:val="22"/>
                <w:szCs w:val="22"/>
                <w:lang w:val="uk-UA"/>
              </w:rPr>
              <w:t>08 218,047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8B6F91" w:rsidRDefault="007D7316" w:rsidP="000A23CD">
      <w:pPr>
        <w:ind w:firstLine="851"/>
        <w:jc w:val="center"/>
        <w:rPr>
          <w:b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77777777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25177CFA" w14:textId="34069586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Pr="008B6F91">
        <w:rPr>
          <w:b/>
          <w:lang w:val="uk-UA"/>
        </w:rPr>
        <w:tab/>
        <w:t>Координація та контроль за ходом виконання Програми</w:t>
      </w: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lastRenderedPageBreak/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8A61C3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AE96" w14:textId="77777777" w:rsidR="00385129" w:rsidRDefault="00385129">
      <w:r>
        <w:separator/>
      </w:r>
    </w:p>
  </w:endnote>
  <w:endnote w:type="continuationSeparator" w:id="0">
    <w:p w14:paraId="62EC3EA1" w14:textId="77777777" w:rsidR="00385129" w:rsidRDefault="0038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D308" w14:textId="77777777" w:rsidR="00385129" w:rsidRDefault="00385129">
      <w:r>
        <w:separator/>
      </w:r>
    </w:p>
  </w:footnote>
  <w:footnote w:type="continuationSeparator" w:id="0">
    <w:p w14:paraId="0F2EA9E4" w14:textId="77777777" w:rsidR="00385129" w:rsidRDefault="0038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6645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2241</Words>
  <Characters>17347</Characters>
  <Application>Microsoft Office Word</Application>
  <DocSecurity>0</DocSecurity>
  <Lines>144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2</cp:revision>
  <cp:lastPrinted>2025-12-08T12:12:00Z</cp:lastPrinted>
  <dcterms:created xsi:type="dcterms:W3CDTF">2025-12-08T12:13:00Z</dcterms:created>
  <dcterms:modified xsi:type="dcterms:W3CDTF">2025-12-08T12:13:00Z</dcterms:modified>
</cp:coreProperties>
</file>