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F7D89" w14:textId="77777777" w:rsidR="001A3BAD" w:rsidRPr="006D0B06" w:rsidRDefault="001A3BAD" w:rsidP="001A3BAD">
      <w:pPr>
        <w:ind w:left="5760"/>
        <w:rPr>
          <w:lang w:val="uk-UA"/>
        </w:rPr>
      </w:pPr>
      <w:r w:rsidRPr="006D0B06">
        <w:rPr>
          <w:lang w:val="uk-UA"/>
        </w:rPr>
        <w:t>Додаток</w:t>
      </w:r>
    </w:p>
    <w:p w14:paraId="76FFCAD5" w14:textId="77777777" w:rsidR="001A3BAD" w:rsidRPr="006D0B06" w:rsidRDefault="001A3BAD" w:rsidP="001A3BAD">
      <w:pPr>
        <w:ind w:left="5760"/>
        <w:rPr>
          <w:lang w:val="uk-UA"/>
        </w:rPr>
      </w:pPr>
      <w:r w:rsidRPr="006D0B06">
        <w:rPr>
          <w:lang w:val="uk-UA"/>
        </w:rPr>
        <w:t>до рішення виконавчого комітету</w:t>
      </w:r>
    </w:p>
    <w:p w14:paraId="4E1533F5" w14:textId="77777777" w:rsidR="001A3BAD" w:rsidRPr="006D0B06" w:rsidRDefault="001A3BAD" w:rsidP="001A3BAD">
      <w:pPr>
        <w:ind w:left="5760"/>
        <w:rPr>
          <w:lang w:val="uk-UA"/>
        </w:rPr>
      </w:pPr>
      <w:r w:rsidRPr="006D0B06">
        <w:rPr>
          <w:lang w:val="uk-UA"/>
        </w:rPr>
        <w:t>Південнівської міської ради</w:t>
      </w:r>
    </w:p>
    <w:p w14:paraId="1E770B1C" w14:textId="0797D68E" w:rsidR="001A3BAD" w:rsidRDefault="001A3BAD" w:rsidP="001A3BAD">
      <w:pPr>
        <w:ind w:left="5760"/>
        <w:rPr>
          <w:lang w:val="uk-UA"/>
        </w:rPr>
      </w:pPr>
      <w:r w:rsidRPr="006D0B06">
        <w:rPr>
          <w:lang w:val="uk-UA"/>
        </w:rPr>
        <w:t xml:space="preserve">від </w:t>
      </w:r>
      <w:r>
        <w:rPr>
          <w:lang w:val="uk-UA"/>
        </w:rPr>
        <w:t>15</w:t>
      </w:r>
      <w:r w:rsidRPr="006D0B06">
        <w:rPr>
          <w:lang w:val="uk-UA"/>
        </w:rPr>
        <w:t>.1</w:t>
      </w:r>
      <w:r>
        <w:rPr>
          <w:lang w:val="uk-UA"/>
        </w:rPr>
        <w:t>2</w:t>
      </w:r>
      <w:r w:rsidRPr="006D0B06">
        <w:rPr>
          <w:lang w:val="uk-UA"/>
        </w:rPr>
        <w:t xml:space="preserve">.2025 № </w:t>
      </w:r>
      <w:r>
        <w:rPr>
          <w:lang w:val="uk-UA"/>
        </w:rPr>
        <w:t>2547</w:t>
      </w:r>
    </w:p>
    <w:p w14:paraId="57F1E120" w14:textId="77777777" w:rsidR="001A3BAD" w:rsidRPr="006D0B06" w:rsidRDefault="001A3BAD" w:rsidP="001A3BAD">
      <w:pPr>
        <w:ind w:left="5760"/>
        <w:rPr>
          <w:lang w:val="uk-UA"/>
        </w:rPr>
      </w:pPr>
    </w:p>
    <w:p w14:paraId="1250016D" w14:textId="77777777" w:rsidR="001A3BAD" w:rsidRPr="001A3BAD" w:rsidRDefault="001A3BAD" w:rsidP="001A3BAD">
      <w:pPr>
        <w:jc w:val="center"/>
        <w:rPr>
          <w:rFonts w:eastAsia="Calibri"/>
          <w:b/>
          <w:bCs/>
          <w:kern w:val="2"/>
          <w:sz w:val="28"/>
          <w:szCs w:val="28"/>
          <w:lang w:val="uk-UA" w:eastAsia="en-US"/>
          <w14:ligatures w14:val="standardContextual"/>
        </w:rPr>
      </w:pPr>
      <w:r w:rsidRPr="001A3BAD">
        <w:rPr>
          <w:rFonts w:eastAsia="Calibri"/>
          <w:b/>
          <w:bCs/>
          <w:kern w:val="2"/>
          <w:sz w:val="28"/>
          <w:szCs w:val="28"/>
          <w:lang w:val="uk-UA" w:eastAsia="en-US"/>
          <w14:ligatures w14:val="standardContextual"/>
        </w:rPr>
        <w:t xml:space="preserve">  Середньостроковий план пріоритетних публічних інвестицій Південнівської міської територіальної громади </w:t>
      </w:r>
    </w:p>
    <w:p w14:paraId="22537FA0" w14:textId="77777777" w:rsidR="001A3BAD" w:rsidRPr="001A3BAD" w:rsidRDefault="001A3BAD" w:rsidP="001A3BAD">
      <w:pPr>
        <w:jc w:val="center"/>
        <w:rPr>
          <w:rFonts w:eastAsia="Calibri"/>
          <w:b/>
          <w:bCs/>
          <w:kern w:val="2"/>
          <w:sz w:val="28"/>
          <w:szCs w:val="28"/>
          <w:lang w:val="uk-UA" w:eastAsia="en-US"/>
          <w14:ligatures w14:val="standardContextual"/>
        </w:rPr>
      </w:pPr>
      <w:r w:rsidRPr="001A3BAD">
        <w:rPr>
          <w:rFonts w:eastAsia="Calibri"/>
          <w:b/>
          <w:bCs/>
          <w:kern w:val="2"/>
          <w:sz w:val="28"/>
          <w:szCs w:val="28"/>
          <w:lang w:val="uk-UA" w:eastAsia="en-US"/>
          <w14:ligatures w14:val="standardContextual"/>
        </w:rPr>
        <w:t>на 2026-2028 роки</w:t>
      </w:r>
    </w:p>
    <w:p w14:paraId="7853EC79" w14:textId="77777777" w:rsidR="001A3BAD" w:rsidRPr="001A3BAD" w:rsidRDefault="001A3BAD" w:rsidP="001A3BAD">
      <w:pPr>
        <w:jc w:val="center"/>
        <w:rPr>
          <w:rFonts w:eastAsia="Calibri"/>
          <w:kern w:val="2"/>
          <w:lang w:val="uk-UA" w:eastAsia="en-US"/>
          <w14:ligatures w14:val="standardContextual"/>
        </w:rPr>
      </w:pPr>
      <w:r w:rsidRPr="001A3BAD">
        <w:rPr>
          <w:rFonts w:eastAsia="Calibri"/>
          <w:kern w:val="2"/>
          <w:lang w:val="uk-UA" w:eastAsia="en-US"/>
          <w14:ligatures w14:val="standardContextual"/>
        </w:rPr>
        <w:t>(нова редакція)</w:t>
      </w:r>
    </w:p>
    <w:p w14:paraId="46A3C582" w14:textId="77777777" w:rsidR="001A3BAD" w:rsidRPr="001A3BAD" w:rsidRDefault="001A3BAD" w:rsidP="001A3BAD">
      <w:pPr>
        <w:jc w:val="center"/>
        <w:rPr>
          <w:rFonts w:eastAsia="Calibri"/>
          <w:b/>
          <w:bCs/>
          <w:kern w:val="2"/>
          <w:sz w:val="28"/>
          <w:szCs w:val="28"/>
          <w:lang w:val="uk-UA" w:eastAsia="en-US"/>
          <w14:ligatures w14:val="standardContextual"/>
        </w:rPr>
      </w:pPr>
    </w:p>
    <w:p w14:paraId="13DCE744" w14:textId="77777777" w:rsidR="001A3BAD" w:rsidRPr="001A3BAD" w:rsidRDefault="001A3BAD" w:rsidP="001A3BAD">
      <w:pPr>
        <w:spacing w:line="259" w:lineRule="auto"/>
        <w:ind w:firstLine="708"/>
        <w:jc w:val="both"/>
        <w:rPr>
          <w:rFonts w:eastAsia="Calibri"/>
          <w:b/>
          <w:bCs/>
          <w:kern w:val="2"/>
          <w:lang w:val="uk-UA" w:eastAsia="en-US"/>
          <w14:ligatures w14:val="standardContextual"/>
        </w:rPr>
      </w:pPr>
      <w:r w:rsidRPr="001A3BAD">
        <w:rPr>
          <w:rFonts w:eastAsia="Calibri"/>
          <w:b/>
          <w:bCs/>
          <w:kern w:val="2"/>
          <w:lang w:val="uk-UA" w:eastAsia="en-US"/>
          <w14:ligatures w14:val="standardContextual"/>
        </w:rPr>
        <w:t xml:space="preserve">Загальна частина. </w:t>
      </w:r>
    </w:p>
    <w:p w14:paraId="1CA0E9C8" w14:textId="77777777" w:rsidR="001A3BAD" w:rsidRPr="001A3BAD" w:rsidRDefault="001A3BAD" w:rsidP="001A3BAD">
      <w:pPr>
        <w:ind w:firstLine="709"/>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Середньостроковий план пріоритетних публічних інвестицій Південнівської міської територіальної громади на 2026-2028 роки розроблено відповідно до статей 27, 28, 70 Закону України «Про місцеве самоврядування в Україні», відповідно до абзацу другого частини третьої статті 33¹, статті </w:t>
      </w:r>
      <w:r w:rsidRPr="001A3BAD">
        <w:rPr>
          <w:kern w:val="2"/>
          <w:lang w:val="uk-UA" w:eastAsia="en-US"/>
          <w14:ligatures w14:val="standardContextual"/>
        </w:rPr>
        <w:t>75</w:t>
      </w:r>
      <w:r w:rsidRPr="001A3BAD">
        <w:rPr>
          <w:kern w:val="2"/>
          <w:vertAlign w:val="superscript"/>
          <w:lang w:val="uk-UA" w:eastAsia="en-US"/>
          <w14:ligatures w14:val="standardContextual"/>
        </w:rPr>
        <w:t>2</w:t>
      </w:r>
      <w:r w:rsidRPr="001A3BAD">
        <w:rPr>
          <w:rFonts w:eastAsia="Calibri"/>
          <w:kern w:val="2"/>
          <w:lang w:val="uk-UA" w:eastAsia="en-US"/>
          <w14:ligatures w14:val="standardContextual"/>
        </w:rPr>
        <w:t xml:space="preserve">  Бюджетного кодексу України, Порядку розроблення та моніторингу реалізації середньострокового плану пріоритетних публічних інвестицій держави, затвердженого постановою Кабінету Міністрів України від 28 лютого 2025 року № 294.</w:t>
      </w:r>
    </w:p>
    <w:p w14:paraId="64355B78" w14:textId="77777777" w:rsidR="001A3BAD" w:rsidRPr="001A3BAD" w:rsidRDefault="001A3BAD" w:rsidP="001A3BAD">
      <w:pPr>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 </w:t>
      </w:r>
      <w:r w:rsidRPr="001A3BAD">
        <w:rPr>
          <w:rFonts w:eastAsia="Calibri"/>
          <w:kern w:val="2"/>
          <w:lang w:val="uk-UA" w:eastAsia="en-US"/>
          <w14:ligatures w14:val="standardContextual"/>
        </w:rPr>
        <w:tab/>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проєктах та програмах публічних інвестицій. </w:t>
      </w:r>
    </w:p>
    <w:p w14:paraId="6E03052D" w14:textId="77777777" w:rsidR="001A3BAD" w:rsidRPr="001A3BAD" w:rsidRDefault="001A3BAD" w:rsidP="001A3BAD">
      <w:pPr>
        <w:ind w:firstLine="709"/>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Середньостроковий план визначає: </w:t>
      </w:r>
    </w:p>
    <w:p w14:paraId="04EA6F7C" w14:textId="77777777" w:rsidR="001A3BAD" w:rsidRPr="001A3BAD" w:rsidRDefault="001A3BAD" w:rsidP="001A3BAD">
      <w:pPr>
        <w:ind w:firstLine="709"/>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 наскрізні стратегічні цілі здійснення публічних інвестицій; </w:t>
      </w:r>
    </w:p>
    <w:p w14:paraId="30C39D52" w14:textId="77777777" w:rsidR="001A3BAD" w:rsidRPr="001A3BAD" w:rsidRDefault="001A3BAD" w:rsidP="001A3BAD">
      <w:pPr>
        <w:ind w:firstLine="709"/>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 пріоритетні галузі (сектори) для публічного інвестування; </w:t>
      </w:r>
    </w:p>
    <w:p w14:paraId="5B77323F" w14:textId="77777777" w:rsidR="001A3BAD" w:rsidRPr="001A3BAD" w:rsidRDefault="001A3BAD" w:rsidP="001A3BAD">
      <w:pPr>
        <w:ind w:firstLine="709"/>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 основні напрями публічного інвестування, у тому числі за діючими проєктами та програмами, цільові показники цих напрямів і відповідний орієнтовний розподіл коштів за рахунок різних джерел фінансування; </w:t>
      </w:r>
    </w:p>
    <w:p w14:paraId="06CF8477" w14:textId="77777777" w:rsidR="001A3BAD" w:rsidRPr="001A3BAD" w:rsidRDefault="001A3BAD" w:rsidP="001A3BAD">
      <w:pPr>
        <w:ind w:firstLine="709"/>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 </w:t>
      </w:r>
      <w:proofErr w:type="spellStart"/>
      <w:r w:rsidRPr="001A3BAD">
        <w:rPr>
          <w:rFonts w:eastAsia="Calibri"/>
          <w:kern w:val="2"/>
          <w:lang w:val="uk-UA" w:eastAsia="en-US"/>
          <w14:ligatures w14:val="standardContextual"/>
        </w:rPr>
        <w:t>підсектори</w:t>
      </w:r>
      <w:proofErr w:type="spellEnd"/>
      <w:r w:rsidRPr="001A3BAD">
        <w:rPr>
          <w:rFonts w:eastAsia="Calibri"/>
          <w:kern w:val="2"/>
          <w:lang w:val="uk-UA" w:eastAsia="en-US"/>
          <w14:ligatures w14:val="standardContextual"/>
        </w:rPr>
        <w:t xml:space="preserve"> галузей (секторів) для публічного інвестування. </w:t>
      </w:r>
    </w:p>
    <w:p w14:paraId="62197A15" w14:textId="77777777" w:rsidR="001A3BAD" w:rsidRPr="001A3BAD" w:rsidRDefault="001A3BAD" w:rsidP="001A3BAD">
      <w:pPr>
        <w:ind w:firstLine="708"/>
        <w:jc w:val="both"/>
        <w:rPr>
          <w:rFonts w:eastAsia="Calibri"/>
          <w:kern w:val="2"/>
          <w:lang w:val="uk-UA" w:eastAsia="en-US"/>
          <w14:ligatures w14:val="standardContextual"/>
        </w:rPr>
      </w:pPr>
    </w:p>
    <w:p w14:paraId="066D61F5"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Сфера дії середньострокового плану включає публічні інвестиції, що спрямовані на реалізацію проєктів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w:t>
      </w:r>
    </w:p>
    <w:p w14:paraId="2D539DD1"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 </w:t>
      </w:r>
    </w:p>
    <w:p w14:paraId="7BDA1C09" w14:textId="77777777" w:rsidR="001A3BAD" w:rsidRPr="001A3BAD" w:rsidRDefault="001A3BAD" w:rsidP="001A3BAD">
      <w:pPr>
        <w:ind w:firstLine="708"/>
        <w:jc w:val="both"/>
        <w:rPr>
          <w:rFonts w:eastAsia="Calibri"/>
          <w:b/>
          <w:bCs/>
          <w:kern w:val="2"/>
          <w:lang w:val="uk-UA" w:eastAsia="en-US"/>
          <w14:ligatures w14:val="standardContextual"/>
        </w:rPr>
      </w:pPr>
      <w:r w:rsidRPr="001A3BAD">
        <w:rPr>
          <w:rFonts w:eastAsia="Calibri"/>
          <w:b/>
          <w:bCs/>
          <w:kern w:val="2"/>
          <w:lang w:val="uk-UA" w:eastAsia="en-US"/>
          <w14:ligatures w14:val="standardContextual"/>
        </w:rPr>
        <w:t xml:space="preserve">Описова частина. </w:t>
      </w:r>
    </w:p>
    <w:p w14:paraId="79727F8D" w14:textId="77777777" w:rsidR="001A3BAD" w:rsidRPr="001A3BAD" w:rsidRDefault="001A3BAD" w:rsidP="001A3BAD">
      <w:pPr>
        <w:widowControl w:val="0"/>
        <w:tabs>
          <w:tab w:val="left" w:pos="540"/>
        </w:tabs>
        <w:jc w:val="both"/>
        <w:rPr>
          <w:color w:val="000000"/>
          <w:lang w:val="uk-UA"/>
        </w:rPr>
      </w:pPr>
      <w:r w:rsidRPr="001A3BAD">
        <w:rPr>
          <w:lang w:val="uk-UA"/>
        </w:rPr>
        <w:tab/>
      </w:r>
      <w:r w:rsidRPr="001A3BAD">
        <w:rPr>
          <w:lang w:val="uk-UA"/>
        </w:rPr>
        <w:tab/>
        <w:t xml:space="preserve">Середньостроковий план пріоритетних публічних інвестицій Південнівської міської територіальної громади на 2026-2028 роки розроблено Управління економіки Південнівської міської ради Одеського району Одеської області на підставі пріоритетів та завдань, визначених документами стратегічного планування, а саме </w:t>
      </w:r>
      <w:r w:rsidRPr="001A3BAD">
        <w:rPr>
          <w:color w:val="000000"/>
          <w:lang w:val="uk-UA"/>
        </w:rPr>
        <w:t xml:space="preserve">Стратегії сталого розвитку Южненської міської територіальної громади на період до 2030 року, затвердженої </w:t>
      </w:r>
      <w:r w:rsidRPr="001A3BAD">
        <w:rPr>
          <w:color w:val="000000"/>
          <w:shd w:val="clear" w:color="auto" w:fill="FFFFFF"/>
          <w:lang w:val="uk-UA"/>
        </w:rPr>
        <w:t>рішенням міської ради від 07.03.2023 року №1192-</w:t>
      </w:r>
      <w:r w:rsidRPr="001A3BAD">
        <w:rPr>
          <w:color w:val="000000"/>
          <w:shd w:val="clear" w:color="auto" w:fill="FFFFFF"/>
        </w:rPr>
        <w:t>V</w:t>
      </w:r>
      <w:r w:rsidRPr="001A3BAD">
        <w:rPr>
          <w:color w:val="000000"/>
          <w:shd w:val="clear" w:color="auto" w:fill="FFFFFF"/>
          <w:lang w:val="uk-UA"/>
        </w:rPr>
        <w:t>ІІІ</w:t>
      </w:r>
      <w:r w:rsidRPr="001A3BAD">
        <w:rPr>
          <w:color w:val="000000"/>
          <w:lang w:val="uk-UA"/>
        </w:rPr>
        <w:t xml:space="preserve">, Програмою економічного і соціального розвитку Південнівської міської територіальної громади на 2026 рік та подальші два роки, програмними документами, затвердженими на середньостроковий період, </w:t>
      </w:r>
      <w:r w:rsidRPr="001A3BAD">
        <w:rPr>
          <w:lang w:val="uk-UA"/>
        </w:rPr>
        <w:t>Цілями сталого розвитку України на період до 2030 року, у межах орієнтовного граничного сукупного обсягу публічних інвестицій на середньостроковий період, доведеного Фінансовим управлінням Південнівської міської ради Одеського району Одеської області.</w:t>
      </w:r>
    </w:p>
    <w:p w14:paraId="38942ED9"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lastRenderedPageBreak/>
        <w:t xml:space="preserve">Наскрізні цілі держави передбачають: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w:t>
      </w:r>
      <w:proofErr w:type="spellStart"/>
      <w:r w:rsidRPr="001A3BAD">
        <w:rPr>
          <w:rFonts w:eastAsia="Calibri"/>
          <w:kern w:val="2"/>
          <w:lang w:val="uk-UA" w:eastAsia="en-US"/>
          <w14:ligatures w14:val="standardContextual"/>
        </w:rPr>
        <w:t>безбар’єрності</w:t>
      </w:r>
      <w:proofErr w:type="spellEnd"/>
      <w:r w:rsidRPr="001A3BAD">
        <w:rPr>
          <w:rFonts w:eastAsia="Calibri"/>
          <w:kern w:val="2"/>
          <w:lang w:val="uk-UA" w:eastAsia="en-US"/>
          <w14:ligatures w14:val="standardContextual"/>
        </w:rPr>
        <w:t>, доступності для всіх категорій населення.</w:t>
      </w:r>
      <w:bookmarkStart w:id="0" w:name="_Hlk179379141"/>
    </w:p>
    <w:p w14:paraId="27D60098"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kern w:val="2"/>
          <w:lang w:val="uk-UA" w:eastAsia="en-US"/>
          <w14:ligatures w14:val="standardContextual"/>
        </w:rPr>
        <w:t>На 2026-2028 роки наскрізними стратегічними цілями громади є</w:t>
      </w:r>
      <w:r w:rsidRPr="001A3BAD">
        <w:rPr>
          <w:rFonts w:eastAsia="Roboto Mono"/>
          <w:color w:val="000000"/>
          <w:kern w:val="24"/>
          <w:lang w:val="uk-UA" w:eastAsia="en-US"/>
          <w14:ligatures w14:val="standardContextual"/>
        </w:rPr>
        <w:t xml:space="preserve"> створення </w:t>
      </w:r>
      <w:r w:rsidRPr="001A3BAD">
        <w:rPr>
          <w:rFonts w:eastAsia="Calibri"/>
          <w:color w:val="000000"/>
          <w:kern w:val="2"/>
          <w:shd w:val="clear" w:color="auto" w:fill="FFFFFF"/>
          <w:lang w:val="uk-UA" w:eastAsia="en-US"/>
          <w14:ligatures w14:val="standardContextual"/>
        </w:rPr>
        <w:t xml:space="preserve">безпечного середовища з </w:t>
      </w:r>
      <w:r w:rsidRPr="001A3BAD">
        <w:rPr>
          <w:rFonts w:eastAsia="Calibri"/>
          <w:color w:val="000000"/>
          <w:kern w:val="2"/>
          <w:lang w:val="uk-UA" w:eastAsia="en-US"/>
          <w14:ligatures w14:val="standardContextual"/>
        </w:rPr>
        <w:t xml:space="preserve">ефективною та надійною інфраструктурою для комфортного життя населення громади: підвищення ефективності </w:t>
      </w:r>
      <w:r w:rsidRPr="001A3BAD">
        <w:rPr>
          <w:rFonts w:eastAsia="Calibri"/>
          <w:color w:val="000000"/>
          <w:kern w:val="2"/>
          <w:highlight w:val="white"/>
          <w:lang w:val="uk-UA" w:eastAsia="en-US"/>
          <w14:ligatures w14:val="standardContextual"/>
        </w:rPr>
        <w:t>безпеки населення, а саме, належний благоустрій, поліпшення екології, розвинена безпекова інфраструктура</w:t>
      </w:r>
      <w:r w:rsidRPr="001A3BAD">
        <w:rPr>
          <w:rFonts w:eastAsia="Calibri"/>
          <w:color w:val="000000"/>
          <w:kern w:val="2"/>
          <w:lang w:val="uk-UA" w:eastAsia="en-US"/>
          <w14:ligatures w14:val="standardContextual"/>
        </w:rPr>
        <w:t xml:space="preserve">, </w:t>
      </w:r>
      <w:r w:rsidRPr="001A3BAD">
        <w:rPr>
          <w:rFonts w:eastAsia="Calibri"/>
          <w:kern w:val="2"/>
          <w:lang w:val="uk-UA" w:eastAsia="en-US"/>
          <w14:ligatures w14:val="standardContextual"/>
        </w:rPr>
        <w:t xml:space="preserve">з врахуванням принципів </w:t>
      </w:r>
      <w:proofErr w:type="spellStart"/>
      <w:r w:rsidRPr="001A3BAD">
        <w:rPr>
          <w:rFonts w:eastAsia="Calibri"/>
          <w:kern w:val="2"/>
          <w:lang w:val="uk-UA" w:eastAsia="en-US"/>
          <w14:ligatures w14:val="standardContextual"/>
        </w:rPr>
        <w:t>безбар’єрності</w:t>
      </w:r>
      <w:proofErr w:type="spellEnd"/>
      <w:r w:rsidRPr="001A3BAD">
        <w:rPr>
          <w:rFonts w:eastAsia="Calibri"/>
          <w:kern w:val="2"/>
          <w:lang w:val="uk-UA" w:eastAsia="en-US"/>
          <w14:ligatures w14:val="standardContextual"/>
        </w:rPr>
        <w:t>,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bookmarkEnd w:id="0"/>
    <w:p w14:paraId="57E17ED0" w14:textId="77777777" w:rsidR="001A3BAD" w:rsidRPr="001A3BAD" w:rsidRDefault="001A3BAD" w:rsidP="001A3BAD">
      <w:pPr>
        <w:jc w:val="both"/>
        <w:rPr>
          <w:rFonts w:eastAsia="Calibri"/>
          <w:kern w:val="2"/>
          <w:lang w:val="uk-UA" w:eastAsia="en-US"/>
          <w14:ligatures w14:val="standardContextual"/>
        </w:rPr>
      </w:pPr>
    </w:p>
    <w:p w14:paraId="00CAE93A" w14:textId="77777777" w:rsidR="001A3BAD" w:rsidRPr="001A3BAD" w:rsidRDefault="001A3BAD" w:rsidP="001A3BAD">
      <w:pPr>
        <w:ind w:firstLine="708"/>
        <w:jc w:val="both"/>
        <w:rPr>
          <w:rFonts w:eastAsia="Calibri"/>
          <w:b/>
          <w:bCs/>
          <w:kern w:val="2"/>
          <w:lang w:val="uk-UA" w:eastAsia="en-US"/>
          <w14:ligatures w14:val="standardContextual"/>
        </w:rPr>
      </w:pPr>
      <w:r w:rsidRPr="001A3BAD">
        <w:rPr>
          <w:rFonts w:eastAsia="Calibri"/>
          <w:b/>
          <w:bCs/>
          <w:kern w:val="2"/>
          <w:lang w:val="uk-UA" w:eastAsia="en-US"/>
          <w14:ligatures w14:val="standardContextual"/>
        </w:rPr>
        <w:t>Пріоритетні галузі (сектори) для публічного інвестування.</w:t>
      </w:r>
    </w:p>
    <w:p w14:paraId="03620C9F"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Перелік галузей (секторів) для публічного інвестування складається з 18 галузей:</w:t>
      </w:r>
    </w:p>
    <w:p w14:paraId="638AEC3A"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Громадська безпека;</w:t>
      </w:r>
    </w:p>
    <w:p w14:paraId="639568CF"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Закордонні справи;</w:t>
      </w:r>
    </w:p>
    <w:p w14:paraId="75E2B1D3"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Правова діяльність та судочинство;</w:t>
      </w:r>
    </w:p>
    <w:p w14:paraId="14CCE9AF"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Аграрна;</w:t>
      </w:r>
    </w:p>
    <w:p w14:paraId="142DA622"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Довкілля;</w:t>
      </w:r>
    </w:p>
    <w:p w14:paraId="364B2BBC"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Економічна діяльність;</w:t>
      </w:r>
    </w:p>
    <w:p w14:paraId="7CD9ACC6"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Енергетика;</w:t>
      </w:r>
    </w:p>
    <w:p w14:paraId="45C63432"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Спорт та фізичне виховання;</w:t>
      </w:r>
    </w:p>
    <w:p w14:paraId="5FCD3D33"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Протимінна діяльність;</w:t>
      </w:r>
    </w:p>
    <w:p w14:paraId="5FB1C1F7"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Житло;</w:t>
      </w:r>
    </w:p>
    <w:p w14:paraId="416B04E9"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Муніципальна інфраструктура та послуги;</w:t>
      </w:r>
    </w:p>
    <w:p w14:paraId="41A832DD"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Транспорт;</w:t>
      </w:r>
    </w:p>
    <w:p w14:paraId="6CB4286A"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Соціальна сфера;</w:t>
      </w:r>
    </w:p>
    <w:p w14:paraId="567F6C6F"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Публічні фінанси;</w:t>
      </w:r>
    </w:p>
    <w:p w14:paraId="716FB6F6"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Публічні послуги і пов’язана з ними </w:t>
      </w:r>
      <w:proofErr w:type="spellStart"/>
      <w:r w:rsidRPr="001A3BAD">
        <w:rPr>
          <w:rFonts w:eastAsia="Calibri"/>
          <w:kern w:val="2"/>
          <w:lang w:val="uk-UA" w:eastAsia="en-US"/>
          <w14:ligatures w14:val="standardContextual"/>
        </w:rPr>
        <w:t>цифровізація</w:t>
      </w:r>
      <w:proofErr w:type="spellEnd"/>
      <w:r w:rsidRPr="001A3BAD">
        <w:rPr>
          <w:rFonts w:eastAsia="Calibri"/>
          <w:kern w:val="2"/>
          <w:lang w:val="uk-UA" w:eastAsia="en-US"/>
          <w14:ligatures w14:val="standardContextual"/>
        </w:rPr>
        <w:t>;</w:t>
      </w:r>
    </w:p>
    <w:p w14:paraId="65CAF6FF"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Культура та інформація;</w:t>
      </w:r>
    </w:p>
    <w:p w14:paraId="367289C0"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Охорона здоров’я;</w:t>
      </w:r>
    </w:p>
    <w:p w14:paraId="631B60EA"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Освіта і наука.</w:t>
      </w:r>
    </w:p>
    <w:p w14:paraId="2C61ECDE" w14:textId="77777777" w:rsidR="001A3BAD" w:rsidRPr="001A3BAD" w:rsidRDefault="001A3BAD" w:rsidP="001A3BAD">
      <w:pPr>
        <w:jc w:val="both"/>
        <w:rPr>
          <w:rFonts w:eastAsia="Calibri"/>
          <w:kern w:val="2"/>
          <w:lang w:val="uk-UA" w:eastAsia="en-US"/>
          <w14:ligatures w14:val="standardContextual"/>
        </w:rPr>
      </w:pPr>
    </w:p>
    <w:p w14:paraId="43C8BDCA" w14:textId="77777777" w:rsidR="001A3BAD" w:rsidRPr="001A3BAD" w:rsidRDefault="001A3BAD" w:rsidP="001A3BAD">
      <w:pPr>
        <w:ind w:firstLine="708"/>
        <w:jc w:val="both"/>
        <w:rPr>
          <w:rFonts w:eastAsia="Calibri"/>
          <w:b/>
          <w:bCs/>
          <w:kern w:val="2"/>
          <w:lang w:val="uk-UA" w:eastAsia="en-US"/>
          <w14:ligatures w14:val="standardContextual"/>
        </w:rPr>
      </w:pPr>
      <w:r w:rsidRPr="001A3BAD">
        <w:rPr>
          <w:rFonts w:eastAsia="Calibri"/>
          <w:b/>
          <w:bCs/>
          <w:kern w:val="2"/>
          <w:lang w:val="uk-UA" w:eastAsia="en-US"/>
          <w14:ligatures w14:val="standardContextual"/>
        </w:rPr>
        <w:t xml:space="preserve">До пріоритетних галузей (секторів) для публічного інвестування, визначених цим планом, відносяться: </w:t>
      </w:r>
    </w:p>
    <w:p w14:paraId="0725D09E" w14:textId="77777777" w:rsidR="001A3BAD" w:rsidRPr="001A3BAD" w:rsidRDefault="001A3BAD" w:rsidP="001A3BAD">
      <w:pPr>
        <w:ind w:firstLine="708"/>
        <w:jc w:val="both"/>
        <w:rPr>
          <w:rFonts w:eastAsia="Calibri"/>
          <w:b/>
          <w:bCs/>
          <w:kern w:val="2"/>
          <w:lang w:val="uk-UA" w:eastAsia="en-US"/>
          <w14:ligatures w14:val="standardContextual"/>
        </w:rPr>
      </w:pPr>
      <w:r w:rsidRPr="001A3BAD">
        <w:rPr>
          <w:rFonts w:eastAsia="Calibri"/>
          <w:b/>
          <w:bCs/>
          <w:kern w:val="2"/>
          <w:lang w:val="uk-UA" w:eastAsia="en-US"/>
          <w14:ligatures w14:val="standardContextual"/>
        </w:rPr>
        <w:t>Освіта та наука;</w:t>
      </w:r>
    </w:p>
    <w:p w14:paraId="50C0F5E5" w14:textId="77777777" w:rsidR="001A3BAD" w:rsidRPr="001A3BAD" w:rsidRDefault="001A3BAD" w:rsidP="001A3BAD">
      <w:pPr>
        <w:ind w:firstLine="708"/>
        <w:jc w:val="both"/>
        <w:rPr>
          <w:rFonts w:eastAsia="Calibri"/>
          <w:b/>
          <w:bCs/>
          <w:kern w:val="2"/>
          <w:lang w:val="uk-UA" w:eastAsia="en-US"/>
          <w14:ligatures w14:val="standardContextual"/>
        </w:rPr>
      </w:pPr>
      <w:r w:rsidRPr="001A3BAD">
        <w:rPr>
          <w:rFonts w:eastAsia="Calibri"/>
          <w:b/>
          <w:bCs/>
          <w:kern w:val="2"/>
          <w:lang w:val="uk-UA" w:eastAsia="en-US"/>
          <w14:ligatures w14:val="standardContextual"/>
        </w:rPr>
        <w:t xml:space="preserve">Муніципальна інфраструктура та послуги; </w:t>
      </w:r>
    </w:p>
    <w:p w14:paraId="15A62A63" w14:textId="77777777" w:rsidR="001A3BAD" w:rsidRPr="001A3BAD" w:rsidRDefault="001A3BAD" w:rsidP="001A3BAD">
      <w:pPr>
        <w:ind w:firstLine="708"/>
        <w:jc w:val="both"/>
        <w:rPr>
          <w:rFonts w:eastAsia="Calibri"/>
          <w:b/>
          <w:bCs/>
          <w:kern w:val="2"/>
          <w:lang w:val="uk-UA" w:eastAsia="en-US"/>
          <w14:ligatures w14:val="standardContextual"/>
        </w:rPr>
      </w:pPr>
      <w:r w:rsidRPr="001A3BAD">
        <w:rPr>
          <w:rFonts w:eastAsia="Calibri"/>
          <w:b/>
          <w:bCs/>
          <w:kern w:val="2"/>
          <w:lang w:val="uk-UA" w:eastAsia="en-US"/>
          <w14:ligatures w14:val="standardContextual"/>
        </w:rPr>
        <w:t>Транспорт;</w:t>
      </w:r>
    </w:p>
    <w:p w14:paraId="22B4C36D" w14:textId="77777777" w:rsidR="001A3BAD" w:rsidRPr="001A3BAD" w:rsidRDefault="001A3BAD" w:rsidP="001A3BAD">
      <w:pPr>
        <w:ind w:firstLine="708"/>
        <w:jc w:val="both"/>
        <w:rPr>
          <w:rFonts w:eastAsia="Calibri"/>
          <w:b/>
          <w:bCs/>
          <w:kern w:val="2"/>
          <w:lang w:val="uk-UA" w:eastAsia="en-US"/>
          <w14:ligatures w14:val="standardContextual"/>
        </w:rPr>
      </w:pPr>
      <w:r w:rsidRPr="001A3BAD">
        <w:rPr>
          <w:rFonts w:eastAsia="Calibri"/>
          <w:b/>
          <w:bCs/>
          <w:kern w:val="2"/>
          <w:lang w:val="uk-UA" w:eastAsia="en-US"/>
          <w14:ligatures w14:val="standardContextual"/>
        </w:rPr>
        <w:t>Соціальна сфера.</w:t>
      </w:r>
    </w:p>
    <w:p w14:paraId="0BB9ED90" w14:textId="77777777" w:rsidR="001A3BAD" w:rsidRPr="001A3BAD" w:rsidRDefault="001A3BAD" w:rsidP="001A3BAD">
      <w:pPr>
        <w:ind w:firstLine="708"/>
        <w:jc w:val="both"/>
        <w:rPr>
          <w:rFonts w:eastAsia="Calibri"/>
          <w:kern w:val="2"/>
          <w:lang w:val="uk-UA" w:eastAsia="en-US"/>
          <w14:ligatures w14:val="standardContextual"/>
        </w:rPr>
      </w:pPr>
    </w:p>
    <w:p w14:paraId="76DB734B"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 </w:t>
      </w:r>
    </w:p>
    <w:p w14:paraId="5BE2F71C" w14:textId="77777777" w:rsid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З метою досягнення стратегічних цілей розвитку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визначити 4 ключових сектори для публічного інвестування.</w:t>
      </w:r>
    </w:p>
    <w:p w14:paraId="670EAA4C" w14:textId="77777777" w:rsidR="001A3BAD" w:rsidRDefault="001A3BAD" w:rsidP="001A3BAD">
      <w:pPr>
        <w:ind w:firstLine="708"/>
        <w:jc w:val="both"/>
        <w:rPr>
          <w:rFonts w:eastAsia="Calibri"/>
          <w:kern w:val="2"/>
          <w:lang w:val="uk-UA" w:eastAsia="en-US"/>
          <w14:ligatures w14:val="standardContextual"/>
        </w:rPr>
      </w:pPr>
    </w:p>
    <w:p w14:paraId="38A825F6" w14:textId="77777777" w:rsidR="001A3BAD" w:rsidRDefault="001A3BAD" w:rsidP="001A3BAD">
      <w:pPr>
        <w:ind w:firstLine="708"/>
        <w:jc w:val="both"/>
        <w:rPr>
          <w:rFonts w:eastAsia="Calibri"/>
          <w:kern w:val="2"/>
          <w:lang w:val="uk-UA" w:eastAsia="en-US"/>
          <w14:ligatures w14:val="standardContextual"/>
        </w:rPr>
      </w:pPr>
    </w:p>
    <w:p w14:paraId="25C52DFA" w14:textId="77777777" w:rsidR="001A3BAD" w:rsidRDefault="001A3BAD" w:rsidP="001A3BAD">
      <w:pPr>
        <w:ind w:firstLine="708"/>
        <w:jc w:val="both"/>
        <w:rPr>
          <w:rFonts w:eastAsia="Calibri"/>
          <w:kern w:val="2"/>
          <w:lang w:val="uk-UA" w:eastAsia="en-US"/>
          <w14:ligatures w14:val="standardContextual"/>
        </w:rPr>
      </w:pPr>
    </w:p>
    <w:p w14:paraId="1881A0F8" w14:textId="77777777" w:rsidR="001A3BAD" w:rsidRPr="001A3BAD" w:rsidRDefault="001A3BAD" w:rsidP="001A3BAD">
      <w:pPr>
        <w:ind w:firstLine="708"/>
        <w:jc w:val="both"/>
        <w:rPr>
          <w:rFonts w:eastAsia="Calibri"/>
          <w:kern w:val="2"/>
          <w:lang w:val="uk-UA" w:eastAsia="en-US"/>
          <w14:ligatures w14:val="standardContextual"/>
        </w:rPr>
      </w:pPr>
    </w:p>
    <w:p w14:paraId="2D2ED88C"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 xml:space="preserve"> </w:t>
      </w:r>
    </w:p>
    <w:tbl>
      <w:tblPr>
        <w:tblStyle w:val="af1"/>
        <w:tblW w:w="9351" w:type="dxa"/>
        <w:tblLook w:val="04A0" w:firstRow="1" w:lastRow="0" w:firstColumn="1" w:lastColumn="0" w:noHBand="0" w:noVBand="1"/>
      </w:tblPr>
      <w:tblGrid>
        <w:gridCol w:w="3114"/>
        <w:gridCol w:w="2693"/>
        <w:gridCol w:w="3544"/>
      </w:tblGrid>
      <w:tr w:rsidR="001A3BAD" w:rsidRPr="001A3BAD" w14:paraId="0E7EB95E" w14:textId="77777777" w:rsidTr="00DB540E">
        <w:tc>
          <w:tcPr>
            <w:tcW w:w="3114" w:type="dxa"/>
          </w:tcPr>
          <w:p w14:paraId="7936317F" w14:textId="77777777" w:rsidR="001A3BAD" w:rsidRPr="001A3BAD" w:rsidRDefault="001A3BAD" w:rsidP="001A3BAD">
            <w:pPr>
              <w:jc w:val="both"/>
              <w:rPr>
                <w:rFonts w:ascii="Times New Roman" w:eastAsia="Calibri" w:hAnsi="Times New Roman"/>
                <w:b/>
                <w:kern w:val="2"/>
                <w:sz w:val="24"/>
                <w:szCs w:val="24"/>
                <w:lang w:val="uk-UA" w:eastAsia="en-US"/>
                <w14:ligatures w14:val="standardContextual"/>
              </w:rPr>
            </w:pPr>
            <w:r w:rsidRPr="001A3BAD">
              <w:rPr>
                <w:rFonts w:ascii="Times New Roman" w:eastAsia="Calibri" w:hAnsi="Times New Roman"/>
                <w:b/>
                <w:kern w:val="2"/>
                <w:sz w:val="24"/>
                <w:szCs w:val="24"/>
                <w:lang w:val="uk-UA" w:eastAsia="en-US"/>
                <w14:ligatures w14:val="standardContextual"/>
              </w:rPr>
              <w:lastRenderedPageBreak/>
              <w:t>Сектор (галузь)</w:t>
            </w:r>
          </w:p>
        </w:tc>
        <w:tc>
          <w:tcPr>
            <w:tcW w:w="2693" w:type="dxa"/>
          </w:tcPr>
          <w:p w14:paraId="2F15CFA5" w14:textId="77777777" w:rsidR="001A3BAD" w:rsidRPr="001A3BAD" w:rsidRDefault="001A3BAD" w:rsidP="001A3BAD">
            <w:pPr>
              <w:rPr>
                <w:rFonts w:ascii="Times New Roman" w:eastAsia="Calibri" w:hAnsi="Times New Roman"/>
                <w:b/>
                <w:kern w:val="2"/>
                <w:sz w:val="24"/>
                <w:szCs w:val="24"/>
                <w:lang w:val="uk-UA" w:eastAsia="en-US"/>
                <w14:ligatures w14:val="standardContextual"/>
              </w:rPr>
            </w:pPr>
            <w:r w:rsidRPr="001A3BAD">
              <w:rPr>
                <w:rFonts w:ascii="Times New Roman" w:eastAsia="Calibri" w:hAnsi="Times New Roman"/>
                <w:b/>
                <w:kern w:val="2"/>
                <w:sz w:val="24"/>
                <w:szCs w:val="24"/>
                <w:lang w:val="uk-UA" w:eastAsia="en-US"/>
                <w14:ligatures w14:val="standardContextual"/>
              </w:rPr>
              <w:t xml:space="preserve">Стратегічна ціль </w:t>
            </w:r>
          </w:p>
        </w:tc>
        <w:tc>
          <w:tcPr>
            <w:tcW w:w="3544" w:type="dxa"/>
          </w:tcPr>
          <w:p w14:paraId="72CBC62E" w14:textId="77777777" w:rsidR="001A3BAD" w:rsidRPr="001A3BAD" w:rsidRDefault="001A3BAD" w:rsidP="001A3BAD">
            <w:pPr>
              <w:rPr>
                <w:rFonts w:ascii="Times New Roman" w:eastAsia="Calibri" w:hAnsi="Times New Roman"/>
                <w:b/>
                <w:kern w:val="2"/>
                <w:sz w:val="24"/>
                <w:szCs w:val="24"/>
                <w:lang w:val="uk-UA" w:eastAsia="en-US"/>
                <w14:ligatures w14:val="standardContextual"/>
              </w:rPr>
            </w:pPr>
            <w:r w:rsidRPr="001A3BAD">
              <w:rPr>
                <w:rFonts w:ascii="Times New Roman" w:eastAsia="Calibri" w:hAnsi="Times New Roman"/>
                <w:b/>
                <w:kern w:val="2"/>
                <w:sz w:val="24"/>
                <w:szCs w:val="24"/>
                <w:lang w:val="uk-UA" w:eastAsia="en-US"/>
                <w14:ligatures w14:val="standardContextual"/>
              </w:rPr>
              <w:t>Очікувані результати</w:t>
            </w:r>
          </w:p>
        </w:tc>
      </w:tr>
      <w:tr w:rsidR="001A3BAD" w:rsidRPr="001A3BAD" w14:paraId="4DBF9F47" w14:textId="77777777" w:rsidTr="00DB540E">
        <w:tc>
          <w:tcPr>
            <w:tcW w:w="3114" w:type="dxa"/>
          </w:tcPr>
          <w:p w14:paraId="2E99F8EE" w14:textId="77777777" w:rsidR="001A3BAD" w:rsidRPr="001A3BAD" w:rsidRDefault="001A3BAD" w:rsidP="001A3BAD">
            <w:pPr>
              <w:jc w:val="both"/>
              <w:rPr>
                <w:rFonts w:ascii="Times New Roman" w:eastAsia="Calibri" w:hAnsi="Times New Roman"/>
                <w:bCs w:val="0"/>
                <w:kern w:val="2"/>
                <w:sz w:val="24"/>
                <w:szCs w:val="24"/>
                <w:lang w:val="uk-UA" w:eastAsia="en-US"/>
                <w14:ligatures w14:val="standardContextual"/>
              </w:rPr>
            </w:pPr>
            <w:r w:rsidRPr="001A3BAD">
              <w:rPr>
                <w:rFonts w:ascii="Times New Roman" w:eastAsia="Calibri" w:hAnsi="Times New Roman"/>
                <w:bCs w:val="0"/>
                <w:kern w:val="2"/>
                <w:sz w:val="24"/>
                <w:szCs w:val="24"/>
                <w:lang w:val="uk-UA" w:eastAsia="en-US"/>
                <w14:ligatures w14:val="standardContextual"/>
              </w:rPr>
              <w:t>Освіта і наука</w:t>
            </w:r>
          </w:p>
          <w:p w14:paraId="63EF9BA0"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p>
        </w:tc>
        <w:tc>
          <w:tcPr>
            <w:tcW w:w="2693" w:type="dxa"/>
          </w:tcPr>
          <w:p w14:paraId="7A3228CE"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С. Культурний, спортивний, інтелектуальний розвиток з високим рівнем соціального життя</w:t>
            </w:r>
          </w:p>
        </w:tc>
        <w:tc>
          <w:tcPr>
            <w:tcW w:w="3544" w:type="dxa"/>
          </w:tcPr>
          <w:p w14:paraId="71546550" w14:textId="77777777" w:rsidR="001A3BAD" w:rsidRPr="001A3BAD" w:rsidRDefault="001A3BAD" w:rsidP="001A3BAD">
            <w:pPr>
              <w:shd w:val="clear" w:color="auto" w:fill="FFFFFF"/>
              <w:jc w:val="both"/>
              <w:rPr>
                <w:rFonts w:ascii="Times New Roman" w:hAnsi="Times New Roman"/>
                <w:bCs w:val="0"/>
                <w:color w:val="000000"/>
                <w:sz w:val="24"/>
                <w:szCs w:val="24"/>
                <w:lang w:val="uk-UA"/>
              </w:rPr>
            </w:pPr>
            <w:r w:rsidRPr="001A3BAD">
              <w:rPr>
                <w:rFonts w:ascii="Times New Roman" w:hAnsi="Times New Roman"/>
                <w:bCs w:val="0"/>
                <w:color w:val="000000"/>
                <w:sz w:val="24"/>
                <w:szCs w:val="24"/>
                <w:lang w:val="uk-UA"/>
              </w:rPr>
              <w:t>Забезпечена доступність, якість і результативність надання освітніх послуг.</w:t>
            </w:r>
            <w:r w:rsidRPr="001A3BAD">
              <w:rPr>
                <w:rFonts w:ascii="Times New Roman" w:hAnsi="Times New Roman"/>
                <w:bCs w:val="0"/>
                <w:color w:val="000000"/>
                <w:sz w:val="24"/>
                <w:szCs w:val="24"/>
                <w:shd w:val="clear" w:color="auto" w:fill="FFFFFF"/>
                <w:lang w:val="uk-UA"/>
              </w:rPr>
              <w:t xml:space="preserve"> Збільшена потужність закладів освіти, </w:t>
            </w:r>
            <w:r w:rsidRPr="001A3BAD">
              <w:rPr>
                <w:rFonts w:ascii="Times New Roman" w:hAnsi="Times New Roman"/>
                <w:bCs w:val="0"/>
                <w:color w:val="000000"/>
                <w:sz w:val="24"/>
                <w:szCs w:val="24"/>
                <w:lang w:val="uk-UA"/>
              </w:rPr>
              <w:t xml:space="preserve">оновлена їх матеріально-технічна </w:t>
            </w:r>
            <w:r w:rsidRPr="001A3BAD">
              <w:rPr>
                <w:rFonts w:ascii="Times New Roman" w:hAnsi="Times New Roman"/>
                <w:bCs w:val="0"/>
                <w:sz w:val="24"/>
                <w:szCs w:val="24"/>
                <w:lang w:val="uk-UA"/>
              </w:rPr>
              <w:t>база.</w:t>
            </w:r>
          </w:p>
        </w:tc>
      </w:tr>
      <w:tr w:rsidR="001A3BAD" w:rsidRPr="001A3BAD" w14:paraId="48BECC0A" w14:textId="77777777" w:rsidTr="00DB540E">
        <w:tc>
          <w:tcPr>
            <w:tcW w:w="3114" w:type="dxa"/>
          </w:tcPr>
          <w:p w14:paraId="4B4E5251" w14:textId="77777777" w:rsidR="001A3BAD" w:rsidRPr="001A3BAD" w:rsidRDefault="001A3BAD" w:rsidP="001A3BAD">
            <w:pPr>
              <w:jc w:val="both"/>
              <w:rPr>
                <w:rFonts w:ascii="Times New Roman" w:eastAsia="Calibri" w:hAnsi="Times New Roman"/>
                <w:bCs w:val="0"/>
                <w:kern w:val="2"/>
                <w:sz w:val="24"/>
                <w:szCs w:val="24"/>
                <w:lang w:val="uk-UA" w:eastAsia="en-US"/>
                <w14:ligatures w14:val="standardContextual"/>
              </w:rPr>
            </w:pPr>
            <w:r w:rsidRPr="001A3BAD">
              <w:rPr>
                <w:rFonts w:ascii="Times New Roman" w:eastAsia="Calibri" w:hAnsi="Times New Roman"/>
                <w:bCs w:val="0"/>
                <w:kern w:val="2"/>
                <w:sz w:val="24"/>
                <w:szCs w:val="24"/>
                <w:lang w:val="uk-UA" w:eastAsia="en-US"/>
                <w14:ligatures w14:val="standardContextual"/>
              </w:rPr>
              <w:t>Муніципальна інфраструктура та послуги</w:t>
            </w:r>
          </w:p>
        </w:tc>
        <w:tc>
          <w:tcPr>
            <w:tcW w:w="2693" w:type="dxa"/>
          </w:tcPr>
          <w:p w14:paraId="16B8BA01"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E. Безпечна громада з розвиненою, комфортною для життя інфраструктурою</w:t>
            </w:r>
          </w:p>
          <w:p w14:paraId="47C48444"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p>
        </w:tc>
        <w:tc>
          <w:tcPr>
            <w:tcW w:w="3544" w:type="dxa"/>
          </w:tcPr>
          <w:p w14:paraId="5912FE9E" w14:textId="77777777" w:rsidR="001A3BAD" w:rsidRPr="001A3BAD" w:rsidRDefault="001A3BAD" w:rsidP="001A3BAD">
            <w:pPr>
              <w:shd w:val="clear" w:color="auto" w:fill="FFFFFF"/>
              <w:jc w:val="both"/>
              <w:rPr>
                <w:rFonts w:ascii="Times New Roman" w:hAnsi="Times New Roman"/>
                <w:bCs w:val="0"/>
                <w:color w:val="000000"/>
                <w:sz w:val="24"/>
                <w:szCs w:val="24"/>
                <w:lang w:val="uk-UA"/>
              </w:rPr>
            </w:pPr>
            <w:r w:rsidRPr="001A3BAD">
              <w:rPr>
                <w:rFonts w:ascii="Times New Roman" w:hAnsi="Times New Roman"/>
                <w:bCs w:val="0"/>
                <w:sz w:val="24"/>
                <w:szCs w:val="24"/>
                <w:lang w:val="uk-UA"/>
              </w:rPr>
              <w:t xml:space="preserve">Якісне функціонування житлово-комунального господарства та об’єктів благоустрою, </w:t>
            </w:r>
            <w:r w:rsidRPr="001A3BAD">
              <w:rPr>
                <w:rFonts w:ascii="Times New Roman" w:hAnsi="Times New Roman"/>
                <w:bCs w:val="0"/>
                <w:color w:val="000000"/>
                <w:sz w:val="24"/>
                <w:szCs w:val="24"/>
                <w:lang w:val="uk-UA"/>
              </w:rPr>
              <w:t>поліпшення технічного стану і продовження термінів служби наявних систем водопостачання, теплопостачання та інженерних мереж. Покращення безпеки громади. Створення унікальних рекреаційних об’єктів у вигляді скверів. Створення меморіального скверу дозволить мешканцям громади вшановувати пам'ять загиблих військовослужбовців та героїв, а також збереження історичної пам'яті про їх подвиги.</w:t>
            </w:r>
          </w:p>
        </w:tc>
      </w:tr>
      <w:tr w:rsidR="001A3BAD" w:rsidRPr="001A3BAD" w14:paraId="657207A3" w14:textId="77777777" w:rsidTr="00DB540E">
        <w:tc>
          <w:tcPr>
            <w:tcW w:w="3114" w:type="dxa"/>
          </w:tcPr>
          <w:p w14:paraId="5AA670E6" w14:textId="77777777" w:rsidR="001A3BAD" w:rsidRPr="001A3BAD" w:rsidRDefault="001A3BAD" w:rsidP="001A3BAD">
            <w:pPr>
              <w:jc w:val="both"/>
              <w:rPr>
                <w:rFonts w:ascii="Times New Roman" w:eastAsia="Calibri" w:hAnsi="Times New Roman"/>
                <w:bCs w:val="0"/>
                <w:kern w:val="2"/>
                <w:sz w:val="24"/>
                <w:szCs w:val="24"/>
                <w:lang w:val="uk-UA" w:eastAsia="en-US"/>
                <w14:ligatures w14:val="standardContextual"/>
              </w:rPr>
            </w:pPr>
            <w:r w:rsidRPr="001A3BAD">
              <w:rPr>
                <w:rFonts w:ascii="Times New Roman" w:eastAsia="Calibri" w:hAnsi="Times New Roman"/>
                <w:bCs w:val="0"/>
                <w:kern w:val="2"/>
                <w:sz w:val="24"/>
                <w:szCs w:val="24"/>
                <w:lang w:val="uk-UA" w:eastAsia="en-US"/>
                <w14:ligatures w14:val="standardContextual"/>
              </w:rPr>
              <w:t>Транспорт</w:t>
            </w:r>
          </w:p>
        </w:tc>
        <w:tc>
          <w:tcPr>
            <w:tcW w:w="2693" w:type="dxa"/>
          </w:tcPr>
          <w:p w14:paraId="3E461C85"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E. Безпечна громада з розвиненою, комфортною для життя інфраструктурою</w:t>
            </w:r>
          </w:p>
          <w:p w14:paraId="22C0E28D"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p>
        </w:tc>
        <w:tc>
          <w:tcPr>
            <w:tcW w:w="3544" w:type="dxa"/>
          </w:tcPr>
          <w:p w14:paraId="5CBFF298"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highlight w:val="white"/>
                <w:lang w:val="uk-UA" w:eastAsia="en-US"/>
                <w14:ligatures w14:val="standardContextual"/>
              </w:rPr>
              <w:t>Розвинена безпекова інфраструктур</w:t>
            </w:r>
            <w:r w:rsidRPr="001A3BAD">
              <w:rPr>
                <w:rFonts w:ascii="Times New Roman" w:eastAsia="Calibri" w:hAnsi="Times New Roman"/>
                <w:bCs w:val="0"/>
                <w:color w:val="000000"/>
                <w:kern w:val="2"/>
                <w:sz w:val="24"/>
                <w:szCs w:val="24"/>
                <w:lang w:val="uk-UA" w:eastAsia="en-US"/>
                <w14:ligatures w14:val="standardContextual"/>
              </w:rPr>
              <w:t>а. Безпека дорожнього руху.</w:t>
            </w:r>
          </w:p>
          <w:p w14:paraId="4ACA93F9"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Відповідний рівень дорожнього покриття автомобільних доріг та</w:t>
            </w:r>
          </w:p>
          <w:p w14:paraId="589BA0BB"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покращення транспортного, пішохідного зв’язку.</w:t>
            </w:r>
          </w:p>
        </w:tc>
      </w:tr>
      <w:tr w:rsidR="001A3BAD" w:rsidRPr="001A3BAD" w14:paraId="3CA90F72" w14:textId="77777777" w:rsidTr="00DB540E">
        <w:tc>
          <w:tcPr>
            <w:tcW w:w="3114" w:type="dxa"/>
          </w:tcPr>
          <w:p w14:paraId="629BF305"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 xml:space="preserve">Соціальна сфера </w:t>
            </w:r>
          </w:p>
          <w:p w14:paraId="13C6FBDB" w14:textId="77777777" w:rsidR="001A3BAD" w:rsidRPr="001A3BAD" w:rsidRDefault="001A3BAD" w:rsidP="001A3BAD">
            <w:pPr>
              <w:jc w:val="both"/>
              <w:rPr>
                <w:rFonts w:ascii="Times New Roman" w:eastAsia="Calibri" w:hAnsi="Times New Roman"/>
                <w:bCs w:val="0"/>
                <w:kern w:val="2"/>
                <w:sz w:val="24"/>
                <w:szCs w:val="24"/>
                <w:lang w:val="uk-UA" w:eastAsia="en-US"/>
                <w14:ligatures w14:val="standardContextual"/>
              </w:rPr>
            </w:pPr>
          </w:p>
        </w:tc>
        <w:tc>
          <w:tcPr>
            <w:tcW w:w="2693" w:type="dxa"/>
          </w:tcPr>
          <w:p w14:paraId="53B8CFC2"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С. Культурний, спортивний, інтелектуальний розвиток з високим рівнем соціального життя</w:t>
            </w:r>
          </w:p>
          <w:p w14:paraId="74071F17"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p>
        </w:tc>
        <w:tc>
          <w:tcPr>
            <w:tcW w:w="3544" w:type="dxa"/>
          </w:tcPr>
          <w:p w14:paraId="5040987C" w14:textId="77777777" w:rsidR="001A3BAD" w:rsidRPr="001A3BAD" w:rsidRDefault="001A3BAD" w:rsidP="001A3BAD">
            <w:pPr>
              <w:jc w:val="both"/>
              <w:rPr>
                <w:rFonts w:ascii="Times New Roman" w:eastAsia="Calibri" w:hAnsi="Times New Roman"/>
                <w:bCs w:val="0"/>
                <w:kern w:val="2"/>
                <w:sz w:val="24"/>
                <w:szCs w:val="24"/>
                <w:lang w:val="uk-UA" w:eastAsia="en-US"/>
                <w14:ligatures w14:val="standardContextual"/>
              </w:rPr>
            </w:pPr>
            <w:r w:rsidRPr="001A3BAD">
              <w:rPr>
                <w:rFonts w:ascii="Times New Roman" w:eastAsia="Calibri" w:hAnsi="Times New Roman"/>
                <w:bCs w:val="0"/>
                <w:kern w:val="2"/>
                <w:sz w:val="24"/>
                <w:szCs w:val="24"/>
                <w:lang w:val="uk-UA" w:eastAsia="en-US"/>
                <w14:ligatures w14:val="standardContextual"/>
              </w:rPr>
              <w:t xml:space="preserve">Розвинена мережа реабілітаційних центрів. </w:t>
            </w:r>
          </w:p>
          <w:p w14:paraId="5926B2E0" w14:textId="77777777" w:rsidR="001A3BAD" w:rsidRPr="001A3BAD" w:rsidRDefault="001A3BAD" w:rsidP="001A3BAD">
            <w:pPr>
              <w:jc w:val="both"/>
              <w:rPr>
                <w:rFonts w:ascii="Times New Roman" w:eastAsia="Calibri" w:hAnsi="Times New Roman"/>
                <w:bCs w:val="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 xml:space="preserve">Забезпечення осіб з інвалідністю, які потребують реабілітації,  медичною та соціальною реабілітацією, та надання їм можливості, незалежно від характеру і причини їх інвалідності, найбільшої участі в соціальному і економічному житті. </w:t>
            </w:r>
          </w:p>
        </w:tc>
      </w:tr>
    </w:tbl>
    <w:p w14:paraId="3CC25A9C" w14:textId="77777777" w:rsidR="001A3BAD" w:rsidRPr="001A3BAD" w:rsidRDefault="001A3BAD" w:rsidP="001A3BAD">
      <w:pPr>
        <w:ind w:firstLine="708"/>
        <w:jc w:val="both"/>
        <w:rPr>
          <w:rFonts w:eastAsia="Calibri"/>
          <w:kern w:val="2"/>
          <w:lang w:val="uk-UA" w:eastAsia="en-US"/>
          <w14:ligatures w14:val="standardContextual"/>
        </w:rPr>
      </w:pPr>
    </w:p>
    <w:p w14:paraId="071AF67B"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Сектор (галузь) «Освіта і наука» спрямований на створення єдиного безпечного освітнього простору, раціонального та ефективного використання наявних ресурсів, їх спрямування на задоволення освітніх потреб дітей та молоді.</w:t>
      </w:r>
    </w:p>
    <w:p w14:paraId="306E7E10"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t>Сектор (галузь) «Муніципальна інфраструктура та послуги» спрямований на модернізацію існуючої та розбудова нової комунальної інфраструктури. Публічні інвестиції будуть спрямовані на модернізацію інженерних мереж, систем водопостачання і водовідведення в громаді, теплопостачання, благоустрій громади.</w:t>
      </w:r>
    </w:p>
    <w:p w14:paraId="19E6FA31"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kern w:val="2"/>
          <w:lang w:val="uk-UA" w:eastAsia="en-US"/>
          <w14:ligatures w14:val="standardContextual"/>
        </w:rPr>
        <w:lastRenderedPageBreak/>
        <w:t>Сектор (галузь) «Транспорт» спрямований на підвищення рівня транспортної інфраструктури громади.  Згідно зі Стратегією та програмою розвитку реформування і розвитку житлово-комунального господарства Южненської міської територіальної громади на 2025-2027 роки заплановано заходи з забезпечення безпеки дорожнього руху орієнтовані на відновлення та капітальний ремонт доріг і внутрішньо-квартальних проїздів громади.</w:t>
      </w:r>
    </w:p>
    <w:p w14:paraId="4D18DD20"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Сектор (галузь) «Соціальна сфера» спрямований на соціальну підтримку, розширення мережі закладів (центрів) соціального характеру (реабілітаційних центрів). Публічні інвестиції спрямовуватимуться на програми з реабілітації осіб з інвалідністю, реабілітації військовослужбовців та підтримки ветеранів через будівництво реабілітаційного закладу.</w:t>
      </w:r>
    </w:p>
    <w:p w14:paraId="4DE7FEB9" w14:textId="77777777" w:rsidR="001A3BAD" w:rsidRPr="001A3BAD" w:rsidRDefault="001A3BAD" w:rsidP="001A3BAD">
      <w:pPr>
        <w:jc w:val="both"/>
        <w:rPr>
          <w:rFonts w:eastAsia="Calibri"/>
          <w:color w:val="EE0000"/>
          <w:kern w:val="2"/>
          <w:lang w:val="uk-UA" w:eastAsia="en-US"/>
          <w14:ligatures w14:val="standardContextual"/>
        </w:rPr>
      </w:pPr>
    </w:p>
    <w:p w14:paraId="5823E0D6" w14:textId="77777777" w:rsidR="001A3BAD" w:rsidRPr="001A3BAD" w:rsidRDefault="001A3BAD" w:rsidP="001A3BAD">
      <w:pPr>
        <w:ind w:firstLine="708"/>
        <w:jc w:val="both"/>
        <w:rPr>
          <w:rFonts w:eastAsia="Calibri"/>
          <w:b/>
          <w:bCs/>
          <w:color w:val="000000"/>
          <w:kern w:val="2"/>
          <w:lang w:val="uk-UA" w:eastAsia="en-US"/>
          <w14:ligatures w14:val="standardContextual"/>
        </w:rPr>
      </w:pPr>
      <w:proofErr w:type="spellStart"/>
      <w:r w:rsidRPr="001A3BAD">
        <w:rPr>
          <w:rFonts w:eastAsia="Calibri"/>
          <w:b/>
          <w:bCs/>
          <w:color w:val="000000"/>
          <w:kern w:val="2"/>
          <w:lang w:val="uk-UA" w:eastAsia="en-US"/>
          <w14:ligatures w14:val="standardContextual"/>
        </w:rPr>
        <w:t>Підсектори</w:t>
      </w:r>
      <w:proofErr w:type="spellEnd"/>
      <w:r w:rsidRPr="001A3BAD">
        <w:rPr>
          <w:rFonts w:eastAsia="Calibri"/>
          <w:b/>
          <w:bCs/>
          <w:color w:val="000000"/>
          <w:kern w:val="2"/>
          <w:lang w:val="uk-UA" w:eastAsia="en-US"/>
          <w14:ligatures w14:val="standardContextual"/>
        </w:rPr>
        <w:t xml:space="preserve"> галузей (секторів) для публічного інвестування.</w:t>
      </w:r>
    </w:p>
    <w:p w14:paraId="73756594" w14:textId="77777777" w:rsidR="001A3BAD" w:rsidRPr="001A3BAD" w:rsidRDefault="001A3BAD" w:rsidP="001A3BAD">
      <w:pPr>
        <w:ind w:firstLine="708"/>
        <w:jc w:val="both"/>
        <w:rPr>
          <w:rFonts w:eastAsia="Calibri"/>
          <w:color w:val="000000"/>
          <w:kern w:val="2"/>
          <w:lang w:val="uk-UA" w:eastAsia="en-US"/>
          <w14:ligatures w14:val="standardContextual"/>
        </w:rPr>
      </w:pPr>
      <w:proofErr w:type="spellStart"/>
      <w:r w:rsidRPr="001A3BAD">
        <w:rPr>
          <w:rFonts w:eastAsia="Calibri"/>
          <w:color w:val="000000"/>
          <w:kern w:val="2"/>
          <w:lang w:val="uk-UA" w:eastAsia="en-US"/>
          <w14:ligatures w14:val="standardContextual"/>
        </w:rPr>
        <w:t>Підсектори</w:t>
      </w:r>
      <w:proofErr w:type="spellEnd"/>
      <w:r w:rsidRPr="001A3BAD">
        <w:rPr>
          <w:rFonts w:eastAsia="Calibri"/>
          <w:color w:val="000000"/>
          <w:kern w:val="2"/>
          <w:lang w:val="uk-UA" w:eastAsia="en-US"/>
          <w14:ligatures w14:val="standardContextual"/>
        </w:rPr>
        <w:t xml:space="preserve"> галузей (секторів) для публічного інвестування визначають конкретні сфери діяльності, що потребують фінансування з бюджету. </w:t>
      </w:r>
    </w:p>
    <w:p w14:paraId="79C6D7EC"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У межах кожної пріоритетної галузі (сектора) для публічного інвестування формуються </w:t>
      </w:r>
      <w:proofErr w:type="spellStart"/>
      <w:r w:rsidRPr="001A3BAD">
        <w:rPr>
          <w:rFonts w:eastAsia="Calibri"/>
          <w:color w:val="000000"/>
          <w:kern w:val="2"/>
          <w:lang w:val="uk-UA" w:eastAsia="en-US"/>
          <w14:ligatures w14:val="standardContextual"/>
        </w:rPr>
        <w:t>підсектори</w:t>
      </w:r>
      <w:proofErr w:type="spellEnd"/>
      <w:r w:rsidRPr="001A3BAD">
        <w:rPr>
          <w:rFonts w:eastAsia="Calibri"/>
          <w:color w:val="000000"/>
          <w:kern w:val="2"/>
          <w:lang w:val="uk-UA" w:eastAsia="en-US"/>
          <w14:ligatures w14:val="standardContextual"/>
        </w:rPr>
        <w:t xml:space="preserve">, що відображають ключові напрями розвитку, які потребують публічних інвестицій. </w:t>
      </w:r>
    </w:p>
    <w:p w14:paraId="5C566DFF"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Перелік основних напрямків для публічного інвестування наведено у Додатку 1 до середньострокового плану. </w:t>
      </w:r>
    </w:p>
    <w:p w14:paraId="7AC6B3D0"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Перелік інших напрямів наведено у Додатку 2 до середньострокового плану. </w:t>
      </w:r>
    </w:p>
    <w:p w14:paraId="33ED2D25" w14:textId="77777777" w:rsidR="001A3BAD" w:rsidRPr="001A3BAD" w:rsidRDefault="001A3BAD" w:rsidP="001A3BAD">
      <w:pPr>
        <w:jc w:val="both"/>
        <w:rPr>
          <w:rFonts w:eastAsia="Calibri"/>
          <w:color w:val="000000"/>
          <w:kern w:val="2"/>
          <w:lang w:val="uk-UA" w:eastAsia="en-US"/>
          <w14:ligatures w14:val="standardContextual"/>
        </w:rPr>
      </w:pPr>
    </w:p>
    <w:p w14:paraId="2CE9C493" w14:textId="77777777" w:rsidR="001A3BAD" w:rsidRPr="001A3BAD" w:rsidRDefault="001A3BAD" w:rsidP="001A3BAD">
      <w:pPr>
        <w:ind w:firstLine="708"/>
        <w:jc w:val="both"/>
        <w:rPr>
          <w:rFonts w:eastAsia="Calibri"/>
          <w:b/>
          <w:bCs/>
          <w:color w:val="000000"/>
          <w:kern w:val="2"/>
          <w:lang w:val="uk-UA" w:eastAsia="en-US"/>
          <w14:ligatures w14:val="standardContextual"/>
        </w:rPr>
      </w:pPr>
      <w:r w:rsidRPr="001A3BAD">
        <w:rPr>
          <w:rFonts w:eastAsia="Calibri"/>
          <w:b/>
          <w:bCs/>
          <w:color w:val="000000"/>
          <w:kern w:val="2"/>
          <w:lang w:val="uk-UA" w:eastAsia="en-US"/>
          <w14:ligatures w14:val="standardContextual"/>
        </w:rPr>
        <w:t>Основні напрями публічного інвестування.</w:t>
      </w:r>
    </w:p>
    <w:p w14:paraId="1F2716F8"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Основні напрями публічного інвестування узгоджуються із завданнями Державної стратегії регіонального розвитку України, Стратегії сталого розвитку Южненської міської територіальної громади на період до 2030 року, </w:t>
      </w:r>
      <w:r w:rsidRPr="001A3BAD">
        <w:rPr>
          <w:rFonts w:eastAsia="Calibri"/>
          <w:color w:val="000000"/>
          <w:kern w:val="2"/>
          <w:shd w:val="clear" w:color="auto" w:fill="FFFFFF"/>
          <w:lang w:val="uk-UA" w:eastAsia="en-US"/>
          <w14:ligatures w14:val="standardContextual"/>
        </w:rPr>
        <w:t>мають</w:t>
      </w:r>
      <w:r w:rsidRPr="001A3BAD">
        <w:rPr>
          <w:rFonts w:eastAsia="Calibri"/>
          <w:color w:val="000000"/>
          <w:kern w:val="2"/>
          <w:lang w:val="uk-UA" w:eastAsia="en-US"/>
          <w14:ligatures w14:val="standardContextual"/>
        </w:rPr>
        <w:t xml:space="preserve"> найвищий рівень пріоритетності серед інших напрямів відповідної галузі (сектора) для отримання фінансування. </w:t>
      </w:r>
    </w:p>
    <w:p w14:paraId="39A8DA39"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Формування основних напрямів публічного інвестування здійснювалось на основі пропозицій відповідальних за галузі (сектори) для публічного інвестування, з урахуванням завдань, визначених Стратегією, а також з урахуванням наявності діючих проєктів за відповідними напрямами. </w:t>
      </w:r>
    </w:p>
    <w:p w14:paraId="1DC8840B" w14:textId="77777777" w:rsidR="001A3BAD" w:rsidRPr="001A3BAD" w:rsidRDefault="001A3BAD" w:rsidP="001A3BAD">
      <w:pPr>
        <w:ind w:firstLine="708"/>
        <w:jc w:val="both"/>
        <w:rPr>
          <w:rFonts w:eastAsia="Calibri"/>
          <w:color w:val="000000"/>
          <w:kern w:val="2"/>
          <w:lang w:val="uk-UA" w:eastAsia="en-US"/>
          <w14:ligatures w14:val="standardContextual"/>
        </w:rPr>
      </w:pPr>
    </w:p>
    <w:p w14:paraId="307E4A7A"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Управліннями, відповідальними за галузі (сектори) для публічного інвестування, було подано 13 пропозиції напрямів для публічного інвестування до середньострокового плану, та включено в Додаток 1 до цього плану.</w:t>
      </w:r>
    </w:p>
    <w:p w14:paraId="77FBF1CC" w14:textId="77777777" w:rsidR="001A3BAD" w:rsidRPr="001A3BAD" w:rsidRDefault="001A3BAD" w:rsidP="001A3BAD">
      <w:pPr>
        <w:ind w:firstLine="708"/>
        <w:jc w:val="both"/>
        <w:rPr>
          <w:rFonts w:eastAsia="Calibri"/>
          <w:color w:val="000000"/>
          <w:kern w:val="2"/>
          <w:lang w:val="uk-UA" w:eastAsia="en-US"/>
          <w14:ligatures w14:val="standardContextual"/>
        </w:rPr>
      </w:pPr>
    </w:p>
    <w:p w14:paraId="17782A41" w14:textId="77777777" w:rsidR="001A3BAD" w:rsidRPr="001A3BAD" w:rsidRDefault="001A3BAD" w:rsidP="001A3BAD">
      <w:pPr>
        <w:ind w:firstLine="708"/>
        <w:jc w:val="both"/>
        <w:rPr>
          <w:rFonts w:eastAsia="Calibri"/>
          <w:b/>
          <w:bCs/>
          <w:color w:val="000000"/>
          <w:kern w:val="2"/>
          <w:lang w:val="uk-UA" w:eastAsia="en-US"/>
          <w14:ligatures w14:val="standardContextual"/>
        </w:rPr>
      </w:pPr>
      <w:r w:rsidRPr="001A3BAD">
        <w:rPr>
          <w:rFonts w:eastAsia="Calibri"/>
          <w:b/>
          <w:bCs/>
          <w:color w:val="000000"/>
          <w:kern w:val="2"/>
          <w:lang w:val="uk-UA" w:eastAsia="en-US"/>
          <w14:ligatures w14:val="standardContextual"/>
        </w:rPr>
        <w:t>Фінансова структура публічних інвестицій.</w:t>
      </w:r>
    </w:p>
    <w:p w14:paraId="77F9BEED"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Орієнтовний граничний сукупний обсяг публічних інвестицій на 2026-2028 роки в розрізі джерел фінансового забезпечення та за роками становить:</w:t>
      </w:r>
    </w:p>
    <w:p w14:paraId="431E7698"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                                                                                                                           </w:t>
      </w:r>
    </w:p>
    <w:tbl>
      <w:tblPr>
        <w:tblStyle w:val="af1"/>
        <w:tblW w:w="0" w:type="auto"/>
        <w:tblLook w:val="04A0" w:firstRow="1" w:lastRow="0" w:firstColumn="1" w:lastColumn="0" w:noHBand="0" w:noVBand="1"/>
      </w:tblPr>
      <w:tblGrid>
        <w:gridCol w:w="2263"/>
        <w:gridCol w:w="1985"/>
        <w:gridCol w:w="1701"/>
        <w:gridCol w:w="1527"/>
        <w:gridCol w:w="1869"/>
      </w:tblGrid>
      <w:tr w:rsidR="001A3BAD" w:rsidRPr="001A3BAD" w14:paraId="0239CC6F" w14:textId="77777777" w:rsidTr="00DB540E">
        <w:tc>
          <w:tcPr>
            <w:tcW w:w="2263" w:type="dxa"/>
          </w:tcPr>
          <w:p w14:paraId="02B87FA9"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Показник</w:t>
            </w:r>
          </w:p>
        </w:tc>
        <w:tc>
          <w:tcPr>
            <w:tcW w:w="1985" w:type="dxa"/>
          </w:tcPr>
          <w:p w14:paraId="7B063315"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2026 рік</w:t>
            </w:r>
          </w:p>
          <w:p w14:paraId="37E2B1C8"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1701" w:type="dxa"/>
          </w:tcPr>
          <w:p w14:paraId="0ECB0786"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2027 рік</w:t>
            </w:r>
          </w:p>
          <w:p w14:paraId="1DEC4632"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1527" w:type="dxa"/>
          </w:tcPr>
          <w:p w14:paraId="0C4DAD94"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2028 рік</w:t>
            </w:r>
          </w:p>
          <w:p w14:paraId="1B08D033"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1869" w:type="dxa"/>
          </w:tcPr>
          <w:p w14:paraId="3C27E84E" w14:textId="77777777" w:rsidR="001A3BAD" w:rsidRPr="001A3BAD" w:rsidRDefault="001A3BAD" w:rsidP="001A3BAD">
            <w:pP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2026-2028 роки</w:t>
            </w:r>
          </w:p>
          <w:p w14:paraId="6207BF84"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(тис. грн)</w:t>
            </w:r>
          </w:p>
          <w:p w14:paraId="5E4B1A38"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p>
        </w:tc>
      </w:tr>
      <w:tr w:rsidR="001A3BAD" w:rsidRPr="001A3BAD" w14:paraId="7B6F381F" w14:textId="77777777" w:rsidTr="00DB540E">
        <w:tc>
          <w:tcPr>
            <w:tcW w:w="2263" w:type="dxa"/>
          </w:tcPr>
          <w:p w14:paraId="7E647BFD"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Місцевий бюджет</w:t>
            </w:r>
          </w:p>
          <w:p w14:paraId="6FF5858E"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p>
        </w:tc>
        <w:tc>
          <w:tcPr>
            <w:tcW w:w="1985" w:type="dxa"/>
          </w:tcPr>
          <w:p w14:paraId="3911980A"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73183,068</w:t>
            </w:r>
          </w:p>
        </w:tc>
        <w:tc>
          <w:tcPr>
            <w:tcW w:w="1701" w:type="dxa"/>
          </w:tcPr>
          <w:p w14:paraId="7302906C"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69073,930</w:t>
            </w:r>
          </w:p>
        </w:tc>
        <w:tc>
          <w:tcPr>
            <w:tcW w:w="1527" w:type="dxa"/>
          </w:tcPr>
          <w:p w14:paraId="446B6271"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36674,811</w:t>
            </w:r>
          </w:p>
        </w:tc>
        <w:tc>
          <w:tcPr>
            <w:tcW w:w="1869" w:type="dxa"/>
          </w:tcPr>
          <w:p w14:paraId="66AC4F68"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178931,809</w:t>
            </w:r>
          </w:p>
        </w:tc>
      </w:tr>
      <w:tr w:rsidR="001A3BAD" w:rsidRPr="001A3BAD" w14:paraId="01D70CA9" w14:textId="77777777" w:rsidTr="00DB540E">
        <w:tc>
          <w:tcPr>
            <w:tcW w:w="2263" w:type="dxa"/>
          </w:tcPr>
          <w:p w14:paraId="74C8FA50"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Державний бюджет</w:t>
            </w:r>
          </w:p>
          <w:p w14:paraId="5D37D568"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p>
        </w:tc>
        <w:tc>
          <w:tcPr>
            <w:tcW w:w="1985" w:type="dxa"/>
          </w:tcPr>
          <w:p w14:paraId="4202EAD8"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55000,000</w:t>
            </w:r>
          </w:p>
        </w:tc>
        <w:tc>
          <w:tcPr>
            <w:tcW w:w="1701" w:type="dxa"/>
          </w:tcPr>
          <w:p w14:paraId="04F8482C"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63000,000</w:t>
            </w:r>
          </w:p>
        </w:tc>
        <w:tc>
          <w:tcPr>
            <w:tcW w:w="1527" w:type="dxa"/>
          </w:tcPr>
          <w:p w14:paraId="43F58272"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63768,748</w:t>
            </w:r>
          </w:p>
        </w:tc>
        <w:tc>
          <w:tcPr>
            <w:tcW w:w="1869" w:type="dxa"/>
          </w:tcPr>
          <w:p w14:paraId="3C9A2DAD"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181768,748</w:t>
            </w:r>
          </w:p>
        </w:tc>
      </w:tr>
      <w:tr w:rsidR="001A3BAD" w:rsidRPr="001A3BAD" w14:paraId="2FF1A787" w14:textId="77777777" w:rsidTr="00DB540E">
        <w:tc>
          <w:tcPr>
            <w:tcW w:w="2263" w:type="dxa"/>
          </w:tcPr>
          <w:p w14:paraId="320D5576"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Інші джерела</w:t>
            </w:r>
          </w:p>
        </w:tc>
        <w:tc>
          <w:tcPr>
            <w:tcW w:w="1985" w:type="dxa"/>
          </w:tcPr>
          <w:p w14:paraId="44944DD6"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60000,000</w:t>
            </w:r>
          </w:p>
        </w:tc>
        <w:tc>
          <w:tcPr>
            <w:tcW w:w="1701" w:type="dxa"/>
          </w:tcPr>
          <w:p w14:paraId="087ADD8B"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60000,000</w:t>
            </w:r>
          </w:p>
        </w:tc>
        <w:tc>
          <w:tcPr>
            <w:tcW w:w="1527" w:type="dxa"/>
          </w:tcPr>
          <w:p w14:paraId="6C91C5F4"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68499,035</w:t>
            </w:r>
          </w:p>
        </w:tc>
        <w:tc>
          <w:tcPr>
            <w:tcW w:w="1869" w:type="dxa"/>
          </w:tcPr>
          <w:p w14:paraId="2F642524"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188499,035</w:t>
            </w:r>
          </w:p>
        </w:tc>
      </w:tr>
      <w:tr w:rsidR="001A3BAD" w:rsidRPr="001A3BAD" w14:paraId="5E2275BA" w14:textId="77777777" w:rsidTr="00DB540E">
        <w:tc>
          <w:tcPr>
            <w:tcW w:w="2263" w:type="dxa"/>
          </w:tcPr>
          <w:p w14:paraId="64B4AA87"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Всього</w:t>
            </w:r>
          </w:p>
          <w:p w14:paraId="01FED7A3" w14:textId="77777777" w:rsidR="001A3BAD" w:rsidRPr="001A3BAD" w:rsidRDefault="001A3BAD" w:rsidP="001A3BAD">
            <w:pPr>
              <w:rPr>
                <w:rFonts w:ascii="Times New Roman" w:eastAsia="Calibri" w:hAnsi="Times New Roman"/>
                <w:bCs w:val="0"/>
                <w:color w:val="000000"/>
                <w:kern w:val="2"/>
                <w:sz w:val="24"/>
                <w:szCs w:val="24"/>
                <w:lang w:val="uk-UA" w:eastAsia="en-US"/>
                <w14:ligatures w14:val="standardContextual"/>
              </w:rPr>
            </w:pPr>
          </w:p>
        </w:tc>
        <w:tc>
          <w:tcPr>
            <w:tcW w:w="1985" w:type="dxa"/>
          </w:tcPr>
          <w:p w14:paraId="28A32C7B"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188183,068</w:t>
            </w:r>
          </w:p>
        </w:tc>
        <w:tc>
          <w:tcPr>
            <w:tcW w:w="1701" w:type="dxa"/>
          </w:tcPr>
          <w:p w14:paraId="16EE413B"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192073,930</w:t>
            </w:r>
          </w:p>
        </w:tc>
        <w:tc>
          <w:tcPr>
            <w:tcW w:w="1527" w:type="dxa"/>
          </w:tcPr>
          <w:p w14:paraId="4D49370B"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168942,594</w:t>
            </w:r>
          </w:p>
        </w:tc>
        <w:tc>
          <w:tcPr>
            <w:tcW w:w="1869" w:type="dxa"/>
          </w:tcPr>
          <w:p w14:paraId="0CD18D32"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549199,592</w:t>
            </w:r>
          </w:p>
        </w:tc>
      </w:tr>
    </w:tbl>
    <w:p w14:paraId="2ED4BD12" w14:textId="77777777" w:rsidR="001A3BAD" w:rsidRDefault="001A3BAD" w:rsidP="001A3BAD">
      <w:pPr>
        <w:jc w:val="both"/>
        <w:rPr>
          <w:rFonts w:eastAsia="Calibri"/>
          <w:color w:val="000000"/>
          <w:kern w:val="2"/>
          <w:lang w:val="uk-UA" w:eastAsia="en-US"/>
          <w14:ligatures w14:val="standardContextual"/>
        </w:rPr>
      </w:pPr>
    </w:p>
    <w:p w14:paraId="4729DF33" w14:textId="77777777" w:rsidR="001A3BAD" w:rsidRPr="001A3BAD" w:rsidRDefault="001A3BAD" w:rsidP="001A3BAD">
      <w:pPr>
        <w:jc w:val="both"/>
        <w:rPr>
          <w:rFonts w:eastAsia="Calibri"/>
          <w:color w:val="000000"/>
          <w:kern w:val="2"/>
          <w:lang w:val="uk-UA" w:eastAsia="en-US"/>
          <w14:ligatures w14:val="standardContextual"/>
        </w:rPr>
      </w:pPr>
    </w:p>
    <w:p w14:paraId="326636E1" w14:textId="77777777" w:rsid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Розподіл орієнтовного граничного сукупного обсягу публічних інвестицій на 2026, 2027, 2028 роки на сектори (галузі) для публічного інвестування в межах доведеного </w:t>
      </w:r>
      <w:r w:rsidRPr="001A3BAD">
        <w:rPr>
          <w:rFonts w:eastAsia="Calibri"/>
          <w:color w:val="000000"/>
          <w:kern w:val="2"/>
          <w:lang w:val="uk-UA" w:eastAsia="en-US"/>
          <w14:ligatures w14:val="standardContextual"/>
        </w:rPr>
        <w:lastRenderedPageBreak/>
        <w:t>Фінансовим управлінням Південнівської міської ради Одеського району Одеської області орієнтовного граничного сукупного обсягу публічних інвестицій на середньостроковий період має таку структуру:</w:t>
      </w:r>
    </w:p>
    <w:p w14:paraId="2C647036" w14:textId="77777777" w:rsidR="001A3BAD" w:rsidRPr="001A3BAD" w:rsidRDefault="001A3BAD" w:rsidP="001A3BAD">
      <w:pPr>
        <w:ind w:firstLine="708"/>
        <w:jc w:val="both"/>
        <w:rPr>
          <w:rFonts w:eastAsia="Calibri"/>
          <w:color w:val="000000"/>
          <w:kern w:val="2"/>
          <w:lang w:val="uk-UA" w:eastAsia="en-US"/>
          <w14:ligatures w14:val="standardContextual"/>
        </w:rPr>
      </w:pPr>
    </w:p>
    <w:p w14:paraId="16541954"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                                </w:t>
      </w:r>
    </w:p>
    <w:tbl>
      <w:tblPr>
        <w:tblStyle w:val="af1"/>
        <w:tblW w:w="0" w:type="auto"/>
        <w:tblLook w:val="04A0" w:firstRow="1" w:lastRow="0" w:firstColumn="1" w:lastColumn="0" w:noHBand="0" w:noVBand="1"/>
      </w:tblPr>
      <w:tblGrid>
        <w:gridCol w:w="1849"/>
        <w:gridCol w:w="1728"/>
        <w:gridCol w:w="1728"/>
        <w:gridCol w:w="1728"/>
        <w:gridCol w:w="2312"/>
      </w:tblGrid>
      <w:tr w:rsidR="001A3BAD" w:rsidRPr="001A3BAD" w14:paraId="6E3B79A6" w14:textId="77777777" w:rsidTr="00DB540E">
        <w:tc>
          <w:tcPr>
            <w:tcW w:w="1849" w:type="dxa"/>
          </w:tcPr>
          <w:p w14:paraId="335C58D9"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Галузь (сектор)</w:t>
            </w:r>
          </w:p>
        </w:tc>
        <w:tc>
          <w:tcPr>
            <w:tcW w:w="1728" w:type="dxa"/>
          </w:tcPr>
          <w:p w14:paraId="78C9528C"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Граничний розподіл на 2026 рік</w:t>
            </w:r>
          </w:p>
          <w:p w14:paraId="5E70BD45"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1728" w:type="dxa"/>
          </w:tcPr>
          <w:p w14:paraId="2619D603"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Граничний розподіл на 2027 рік</w:t>
            </w:r>
          </w:p>
          <w:p w14:paraId="4833F1AE"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1728" w:type="dxa"/>
          </w:tcPr>
          <w:p w14:paraId="0BCB69B8"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Граничний розподіл на 2028 рік</w:t>
            </w:r>
          </w:p>
          <w:p w14:paraId="15A37297"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2312" w:type="dxa"/>
          </w:tcPr>
          <w:p w14:paraId="3A6FCDEB"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Граничний розподіл на середньостроковий період</w:t>
            </w:r>
          </w:p>
        </w:tc>
      </w:tr>
      <w:tr w:rsidR="001A3BAD" w:rsidRPr="001A3BAD" w14:paraId="6F00ACF4" w14:textId="77777777" w:rsidTr="00DB540E">
        <w:tc>
          <w:tcPr>
            <w:tcW w:w="1849" w:type="dxa"/>
          </w:tcPr>
          <w:p w14:paraId="7AB6C7DE"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Освіта і наука</w:t>
            </w:r>
          </w:p>
        </w:tc>
        <w:tc>
          <w:tcPr>
            <w:tcW w:w="1728" w:type="dxa"/>
          </w:tcPr>
          <w:p w14:paraId="511E8583"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4990,761</w:t>
            </w:r>
          </w:p>
        </w:tc>
        <w:tc>
          <w:tcPr>
            <w:tcW w:w="1728" w:type="dxa"/>
          </w:tcPr>
          <w:p w14:paraId="1AF4C1CB"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0,000</w:t>
            </w:r>
          </w:p>
        </w:tc>
        <w:tc>
          <w:tcPr>
            <w:tcW w:w="1728" w:type="dxa"/>
          </w:tcPr>
          <w:p w14:paraId="3ABB3BFF"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0,000</w:t>
            </w:r>
          </w:p>
        </w:tc>
        <w:tc>
          <w:tcPr>
            <w:tcW w:w="2312" w:type="dxa"/>
          </w:tcPr>
          <w:p w14:paraId="3BF988C4"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4990,761</w:t>
            </w:r>
          </w:p>
        </w:tc>
      </w:tr>
      <w:tr w:rsidR="001A3BAD" w:rsidRPr="001A3BAD" w14:paraId="6CF6E23F" w14:textId="77777777" w:rsidTr="00DB540E">
        <w:tc>
          <w:tcPr>
            <w:tcW w:w="1849" w:type="dxa"/>
          </w:tcPr>
          <w:p w14:paraId="07F8001C"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Муніципальна інфраструктура та послуги</w:t>
            </w:r>
          </w:p>
        </w:tc>
        <w:tc>
          <w:tcPr>
            <w:tcW w:w="1728" w:type="dxa"/>
          </w:tcPr>
          <w:p w14:paraId="5028E233"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42049,650</w:t>
            </w:r>
          </w:p>
        </w:tc>
        <w:tc>
          <w:tcPr>
            <w:tcW w:w="1728" w:type="dxa"/>
          </w:tcPr>
          <w:p w14:paraId="4B7AA8ED"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19065,700</w:t>
            </w:r>
          </w:p>
        </w:tc>
        <w:tc>
          <w:tcPr>
            <w:tcW w:w="1728" w:type="dxa"/>
          </w:tcPr>
          <w:p w14:paraId="3BAF633D"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0,000</w:t>
            </w:r>
          </w:p>
        </w:tc>
        <w:tc>
          <w:tcPr>
            <w:tcW w:w="2312" w:type="dxa"/>
          </w:tcPr>
          <w:p w14:paraId="527EFE84"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61115,350</w:t>
            </w:r>
          </w:p>
        </w:tc>
      </w:tr>
      <w:tr w:rsidR="001A3BAD" w:rsidRPr="001A3BAD" w14:paraId="08BEEF84" w14:textId="77777777" w:rsidTr="00DB540E">
        <w:tc>
          <w:tcPr>
            <w:tcW w:w="1849" w:type="dxa"/>
          </w:tcPr>
          <w:p w14:paraId="565271FD"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Транспорт</w:t>
            </w:r>
          </w:p>
        </w:tc>
        <w:tc>
          <w:tcPr>
            <w:tcW w:w="1728" w:type="dxa"/>
          </w:tcPr>
          <w:p w14:paraId="33EBCE5A"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6142,657</w:t>
            </w:r>
          </w:p>
        </w:tc>
        <w:tc>
          <w:tcPr>
            <w:tcW w:w="1728" w:type="dxa"/>
          </w:tcPr>
          <w:p w14:paraId="78582B8F"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25008,230</w:t>
            </w:r>
          </w:p>
        </w:tc>
        <w:tc>
          <w:tcPr>
            <w:tcW w:w="1728" w:type="dxa"/>
          </w:tcPr>
          <w:p w14:paraId="698BF71F"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0,000</w:t>
            </w:r>
          </w:p>
        </w:tc>
        <w:tc>
          <w:tcPr>
            <w:tcW w:w="2312" w:type="dxa"/>
          </w:tcPr>
          <w:p w14:paraId="399448F0"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31150,887</w:t>
            </w:r>
          </w:p>
        </w:tc>
      </w:tr>
      <w:tr w:rsidR="001A3BAD" w:rsidRPr="001A3BAD" w14:paraId="046D2035" w14:textId="77777777" w:rsidTr="00DB540E">
        <w:tc>
          <w:tcPr>
            <w:tcW w:w="1849" w:type="dxa"/>
          </w:tcPr>
          <w:p w14:paraId="1FF743A4" w14:textId="77777777" w:rsidR="001A3BAD" w:rsidRPr="001A3BAD" w:rsidRDefault="001A3BAD" w:rsidP="001A3BAD">
            <w:pPr>
              <w:jc w:val="both"/>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Загальний результат</w:t>
            </w:r>
          </w:p>
        </w:tc>
        <w:tc>
          <w:tcPr>
            <w:tcW w:w="1728" w:type="dxa"/>
          </w:tcPr>
          <w:p w14:paraId="6BEAB641"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53183,068</w:t>
            </w:r>
          </w:p>
        </w:tc>
        <w:tc>
          <w:tcPr>
            <w:tcW w:w="1728" w:type="dxa"/>
          </w:tcPr>
          <w:p w14:paraId="265EC6FD"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44073,930</w:t>
            </w:r>
          </w:p>
        </w:tc>
        <w:tc>
          <w:tcPr>
            <w:tcW w:w="1728" w:type="dxa"/>
          </w:tcPr>
          <w:p w14:paraId="1D0496A1"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0,000</w:t>
            </w:r>
          </w:p>
        </w:tc>
        <w:tc>
          <w:tcPr>
            <w:tcW w:w="2312" w:type="dxa"/>
          </w:tcPr>
          <w:p w14:paraId="5413533D"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97256,998</w:t>
            </w:r>
          </w:p>
        </w:tc>
      </w:tr>
    </w:tbl>
    <w:p w14:paraId="69794AF2"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Орієнтовний граничний сукупний обсяг публічних інвестицій на 2026-2028 роки за рахунок бюджету міської територіальної громади становить 97256,998 </w:t>
      </w:r>
      <w:proofErr w:type="spellStart"/>
      <w:r w:rsidRPr="001A3BAD">
        <w:rPr>
          <w:rFonts w:eastAsia="Calibri"/>
          <w:color w:val="000000"/>
          <w:kern w:val="2"/>
          <w:lang w:val="uk-UA" w:eastAsia="en-US"/>
          <w14:ligatures w14:val="standardContextual"/>
        </w:rPr>
        <w:t>тис.грн</w:t>
      </w:r>
      <w:proofErr w:type="spellEnd"/>
      <w:r w:rsidRPr="001A3BAD">
        <w:rPr>
          <w:rFonts w:eastAsia="Calibri"/>
          <w:color w:val="000000"/>
          <w:kern w:val="2"/>
          <w:lang w:val="uk-UA" w:eastAsia="en-US"/>
          <w14:ligatures w14:val="standardContextual"/>
        </w:rPr>
        <w:t>.</w:t>
      </w:r>
    </w:p>
    <w:p w14:paraId="6D3D20DE" w14:textId="77777777" w:rsidR="001A3BAD" w:rsidRPr="001A3BAD" w:rsidRDefault="001A3BAD" w:rsidP="001A3BAD">
      <w:pPr>
        <w:jc w:val="both"/>
        <w:rPr>
          <w:rFonts w:eastAsia="Calibri"/>
          <w:color w:val="000000"/>
          <w:kern w:val="2"/>
          <w:lang w:val="uk-UA" w:eastAsia="en-US"/>
          <w14:ligatures w14:val="standardContextual"/>
        </w:rPr>
      </w:pPr>
    </w:p>
    <w:p w14:paraId="5D22E79F"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Розподіл орієнтовного граничного сукупного обсягу публічних інвестицій на 2026, 2027, 2028 роки на інші сектори (галузі) для публічного інвестування орієнтовного граничного сукупного обсягу публічних інвестицій на середньостроковий період має таку структуру:</w:t>
      </w:r>
    </w:p>
    <w:p w14:paraId="1F1CAC16" w14:textId="77777777" w:rsidR="001A3BAD" w:rsidRPr="001A3BAD" w:rsidRDefault="001A3BAD" w:rsidP="001A3BAD">
      <w:pPr>
        <w:jc w:val="both"/>
        <w:rPr>
          <w:rFonts w:eastAsia="Calibri"/>
          <w:color w:val="000000"/>
          <w:kern w:val="2"/>
          <w:lang w:val="uk-UA" w:eastAsia="en-US"/>
          <w14:ligatures w14:val="standardContextual"/>
        </w:rPr>
      </w:pPr>
    </w:p>
    <w:tbl>
      <w:tblPr>
        <w:tblStyle w:val="af1"/>
        <w:tblW w:w="0" w:type="auto"/>
        <w:tblLook w:val="04A0" w:firstRow="1" w:lastRow="0" w:firstColumn="1" w:lastColumn="0" w:noHBand="0" w:noVBand="1"/>
      </w:tblPr>
      <w:tblGrid>
        <w:gridCol w:w="1807"/>
        <w:gridCol w:w="1742"/>
        <w:gridCol w:w="1742"/>
        <w:gridCol w:w="1742"/>
        <w:gridCol w:w="2312"/>
      </w:tblGrid>
      <w:tr w:rsidR="001A3BAD" w:rsidRPr="001A3BAD" w14:paraId="1109F38E" w14:textId="77777777" w:rsidTr="00DB540E">
        <w:tc>
          <w:tcPr>
            <w:tcW w:w="1807" w:type="dxa"/>
          </w:tcPr>
          <w:p w14:paraId="2A027BFE"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Галузь (сектор)</w:t>
            </w:r>
          </w:p>
        </w:tc>
        <w:tc>
          <w:tcPr>
            <w:tcW w:w="1742" w:type="dxa"/>
          </w:tcPr>
          <w:p w14:paraId="3C5B9B5C"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Граничний розподіл на 2026 рік</w:t>
            </w:r>
          </w:p>
          <w:p w14:paraId="2163FB54"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1742" w:type="dxa"/>
          </w:tcPr>
          <w:p w14:paraId="13AD965E"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Граничний розподіл на 2027 рік</w:t>
            </w:r>
          </w:p>
          <w:p w14:paraId="056E4741"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1742" w:type="dxa"/>
          </w:tcPr>
          <w:p w14:paraId="72B03771"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Граничний розподіл на 2028 рік</w:t>
            </w:r>
          </w:p>
          <w:p w14:paraId="6D4BD80B"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(тис. грн)</w:t>
            </w:r>
          </w:p>
        </w:tc>
        <w:tc>
          <w:tcPr>
            <w:tcW w:w="2312" w:type="dxa"/>
          </w:tcPr>
          <w:p w14:paraId="11AC10B7"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Граничний розподіл на середньостроковий період</w:t>
            </w:r>
          </w:p>
        </w:tc>
      </w:tr>
      <w:tr w:rsidR="001A3BAD" w:rsidRPr="001A3BAD" w14:paraId="62EF8E95" w14:textId="77777777" w:rsidTr="00DB540E">
        <w:tc>
          <w:tcPr>
            <w:tcW w:w="1807" w:type="dxa"/>
          </w:tcPr>
          <w:p w14:paraId="45D15578"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Муніципальна інфраструктура та послуги</w:t>
            </w:r>
          </w:p>
        </w:tc>
        <w:tc>
          <w:tcPr>
            <w:tcW w:w="1742" w:type="dxa"/>
          </w:tcPr>
          <w:p w14:paraId="0AC8AFFE"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70000,000</w:t>
            </w:r>
          </w:p>
        </w:tc>
        <w:tc>
          <w:tcPr>
            <w:tcW w:w="1742" w:type="dxa"/>
          </w:tcPr>
          <w:p w14:paraId="50145D1E"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70000,000</w:t>
            </w:r>
          </w:p>
        </w:tc>
        <w:tc>
          <w:tcPr>
            <w:tcW w:w="1742" w:type="dxa"/>
          </w:tcPr>
          <w:p w14:paraId="38452A6E"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89733,380</w:t>
            </w:r>
          </w:p>
        </w:tc>
        <w:tc>
          <w:tcPr>
            <w:tcW w:w="2312" w:type="dxa"/>
          </w:tcPr>
          <w:p w14:paraId="50799254"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229733,380</w:t>
            </w:r>
          </w:p>
        </w:tc>
      </w:tr>
      <w:tr w:rsidR="001A3BAD" w:rsidRPr="001A3BAD" w14:paraId="4DCC74B5" w14:textId="77777777" w:rsidTr="00DB540E">
        <w:tc>
          <w:tcPr>
            <w:tcW w:w="1807" w:type="dxa"/>
          </w:tcPr>
          <w:p w14:paraId="1B3DE3D1" w14:textId="77777777" w:rsidR="001A3BAD" w:rsidRPr="001A3BAD" w:rsidRDefault="001A3BAD" w:rsidP="001A3BAD">
            <w:pPr>
              <w:jc w:val="both"/>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Соціальна сфера</w:t>
            </w:r>
          </w:p>
        </w:tc>
        <w:tc>
          <w:tcPr>
            <w:tcW w:w="1742" w:type="dxa"/>
          </w:tcPr>
          <w:p w14:paraId="30597BCE"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65000,000</w:t>
            </w:r>
          </w:p>
        </w:tc>
        <w:tc>
          <w:tcPr>
            <w:tcW w:w="1742" w:type="dxa"/>
          </w:tcPr>
          <w:p w14:paraId="73EF4E1F"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78000,000</w:t>
            </w:r>
          </w:p>
        </w:tc>
        <w:tc>
          <w:tcPr>
            <w:tcW w:w="1742" w:type="dxa"/>
          </w:tcPr>
          <w:p w14:paraId="3E94F59F" w14:textId="77777777" w:rsidR="001A3BAD" w:rsidRPr="001A3BAD" w:rsidRDefault="001A3BAD" w:rsidP="001A3BAD">
            <w:pPr>
              <w:jc w:val="center"/>
              <w:rPr>
                <w:rFonts w:ascii="Times New Roman" w:eastAsia="Calibri" w:hAnsi="Times New Roman"/>
                <w:bCs w:val="0"/>
                <w:color w:val="000000"/>
                <w:kern w:val="2"/>
                <w:sz w:val="24"/>
                <w:szCs w:val="24"/>
                <w:lang w:val="uk-UA" w:eastAsia="en-US"/>
                <w14:ligatures w14:val="standardContextual"/>
              </w:rPr>
            </w:pPr>
            <w:r w:rsidRPr="001A3BAD">
              <w:rPr>
                <w:rFonts w:ascii="Times New Roman" w:eastAsia="Calibri" w:hAnsi="Times New Roman"/>
                <w:bCs w:val="0"/>
                <w:color w:val="000000"/>
                <w:kern w:val="2"/>
                <w:sz w:val="24"/>
                <w:szCs w:val="24"/>
                <w:lang w:val="uk-UA" w:eastAsia="en-US"/>
                <w14:ligatures w14:val="standardContextual"/>
              </w:rPr>
              <w:t>79209,214</w:t>
            </w:r>
          </w:p>
        </w:tc>
        <w:tc>
          <w:tcPr>
            <w:tcW w:w="2312" w:type="dxa"/>
          </w:tcPr>
          <w:p w14:paraId="739FA010"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222209,214</w:t>
            </w:r>
          </w:p>
        </w:tc>
      </w:tr>
      <w:tr w:rsidR="001A3BAD" w:rsidRPr="001A3BAD" w14:paraId="205064D9" w14:textId="77777777" w:rsidTr="00DB540E">
        <w:tc>
          <w:tcPr>
            <w:tcW w:w="1807" w:type="dxa"/>
          </w:tcPr>
          <w:p w14:paraId="37A61700" w14:textId="77777777" w:rsidR="001A3BAD" w:rsidRPr="001A3BAD" w:rsidRDefault="001A3BAD" w:rsidP="001A3BAD">
            <w:pPr>
              <w:jc w:val="both"/>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Загальний результат</w:t>
            </w:r>
          </w:p>
        </w:tc>
        <w:tc>
          <w:tcPr>
            <w:tcW w:w="1742" w:type="dxa"/>
          </w:tcPr>
          <w:p w14:paraId="79CD2D45"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135000,000</w:t>
            </w:r>
          </w:p>
        </w:tc>
        <w:tc>
          <w:tcPr>
            <w:tcW w:w="1742" w:type="dxa"/>
          </w:tcPr>
          <w:p w14:paraId="4F4E9AD7"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148000,000</w:t>
            </w:r>
          </w:p>
        </w:tc>
        <w:tc>
          <w:tcPr>
            <w:tcW w:w="1742" w:type="dxa"/>
          </w:tcPr>
          <w:p w14:paraId="1596FDCE"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168942,594</w:t>
            </w:r>
          </w:p>
        </w:tc>
        <w:tc>
          <w:tcPr>
            <w:tcW w:w="2312" w:type="dxa"/>
          </w:tcPr>
          <w:p w14:paraId="5C937730" w14:textId="77777777" w:rsidR="001A3BAD" w:rsidRPr="001A3BAD" w:rsidRDefault="001A3BAD" w:rsidP="001A3BAD">
            <w:pPr>
              <w:jc w:val="center"/>
              <w:rPr>
                <w:rFonts w:ascii="Times New Roman" w:eastAsia="Calibri" w:hAnsi="Times New Roman"/>
                <w:b/>
                <w:color w:val="000000"/>
                <w:kern w:val="2"/>
                <w:sz w:val="24"/>
                <w:szCs w:val="24"/>
                <w:lang w:val="uk-UA" w:eastAsia="en-US"/>
                <w14:ligatures w14:val="standardContextual"/>
              </w:rPr>
            </w:pPr>
            <w:r w:rsidRPr="001A3BAD">
              <w:rPr>
                <w:rFonts w:ascii="Times New Roman" w:eastAsia="Calibri" w:hAnsi="Times New Roman"/>
                <w:b/>
                <w:color w:val="000000"/>
                <w:kern w:val="2"/>
                <w:sz w:val="24"/>
                <w:szCs w:val="24"/>
                <w:lang w:val="uk-UA" w:eastAsia="en-US"/>
                <w14:ligatures w14:val="standardContextual"/>
              </w:rPr>
              <w:t>451942,594</w:t>
            </w:r>
          </w:p>
        </w:tc>
      </w:tr>
    </w:tbl>
    <w:p w14:paraId="4739AEB3" w14:textId="77777777" w:rsidR="001A3BAD" w:rsidRPr="001A3BAD" w:rsidRDefault="001A3BAD" w:rsidP="001A3BAD">
      <w:pPr>
        <w:jc w:val="both"/>
        <w:rPr>
          <w:rFonts w:eastAsia="Calibri"/>
          <w:color w:val="000000"/>
          <w:kern w:val="2"/>
          <w:lang w:val="uk-UA" w:eastAsia="en-US"/>
          <w14:ligatures w14:val="standardContextual"/>
        </w:rPr>
      </w:pPr>
    </w:p>
    <w:p w14:paraId="0AEFE904" w14:textId="77777777" w:rsidR="001A3BAD" w:rsidRPr="001A3BAD" w:rsidRDefault="001A3BAD" w:rsidP="001A3BAD">
      <w:pPr>
        <w:jc w:val="both"/>
        <w:rPr>
          <w:rFonts w:eastAsia="Calibri"/>
          <w:b/>
          <w:bCs/>
          <w:color w:val="000000"/>
          <w:kern w:val="2"/>
          <w:lang w:val="uk-UA" w:eastAsia="en-US"/>
          <w14:ligatures w14:val="standardContextual"/>
        </w:rPr>
      </w:pPr>
      <w:r w:rsidRPr="001A3BAD">
        <w:rPr>
          <w:rFonts w:eastAsia="Calibri"/>
          <w:b/>
          <w:bCs/>
          <w:color w:val="000000"/>
          <w:kern w:val="2"/>
          <w:lang w:val="uk-UA" w:eastAsia="en-US"/>
          <w14:ligatures w14:val="standardContextual"/>
        </w:rPr>
        <w:tab/>
        <w:t>Порядок підготовки, оцінки та реалізації проєктів.</w:t>
      </w:r>
    </w:p>
    <w:p w14:paraId="30CAE5B8" w14:textId="77777777" w:rsidR="001A3BAD" w:rsidRPr="001A3BAD" w:rsidRDefault="001A3BAD" w:rsidP="001A3BAD">
      <w:pPr>
        <w:jc w:val="both"/>
        <w:rPr>
          <w:rFonts w:eastAsia="Calibri"/>
          <w:b/>
          <w:bCs/>
          <w:color w:val="000000"/>
          <w:kern w:val="2"/>
          <w:lang w:val="uk-UA" w:eastAsia="en-US"/>
          <w14:ligatures w14:val="standardContextual"/>
        </w:rPr>
      </w:pPr>
    </w:p>
    <w:p w14:paraId="72DB7E36" w14:textId="77777777" w:rsidR="001A3BAD" w:rsidRPr="001A3BAD" w:rsidRDefault="001A3BAD" w:rsidP="001A3BAD">
      <w:pPr>
        <w:tabs>
          <w:tab w:val="left" w:pos="993"/>
        </w:tabs>
        <w:ind w:firstLine="709"/>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ab/>
        <w:t>Публічні інвестиційні проєкти проходять:</w:t>
      </w:r>
    </w:p>
    <w:p w14:paraId="6985CA90" w14:textId="77777777" w:rsidR="001A3BAD" w:rsidRPr="001A3BAD" w:rsidRDefault="001A3BAD" w:rsidP="001A3BAD">
      <w:pPr>
        <w:numPr>
          <w:ilvl w:val="0"/>
          <w:numId w:val="2"/>
        </w:numPr>
        <w:tabs>
          <w:tab w:val="left" w:pos="993"/>
        </w:tabs>
        <w:spacing w:after="160" w:line="259" w:lineRule="auto"/>
        <w:ind w:left="0" w:firstLine="709"/>
        <w:contextualSpacing/>
        <w:jc w:val="both"/>
        <w:rPr>
          <w:rFonts w:eastAsia="Calibri"/>
          <w:i/>
          <w:iCs/>
          <w:color w:val="000000"/>
          <w:kern w:val="2"/>
          <w:lang w:val="uk-UA" w:eastAsia="en-US"/>
          <w14:ligatures w14:val="standardContextual"/>
        </w:rPr>
      </w:pPr>
      <w:r w:rsidRPr="001A3BAD">
        <w:rPr>
          <w:rFonts w:eastAsia="Calibri"/>
          <w:i/>
          <w:iCs/>
          <w:color w:val="000000"/>
          <w:kern w:val="2"/>
          <w:lang w:val="uk-UA" w:eastAsia="en-US"/>
          <w14:ligatures w14:val="standardContextual"/>
        </w:rPr>
        <w:t>підготовку публічних інвестиційних проєктів;</w:t>
      </w:r>
    </w:p>
    <w:p w14:paraId="4CB8D459" w14:textId="77777777" w:rsidR="001A3BAD" w:rsidRPr="001A3BAD" w:rsidRDefault="001A3BAD" w:rsidP="001A3BAD">
      <w:pPr>
        <w:numPr>
          <w:ilvl w:val="0"/>
          <w:numId w:val="2"/>
        </w:numPr>
        <w:tabs>
          <w:tab w:val="left" w:pos="993"/>
        </w:tabs>
        <w:spacing w:after="160" w:line="259" w:lineRule="auto"/>
        <w:ind w:left="0" w:firstLine="709"/>
        <w:contextualSpacing/>
        <w:jc w:val="both"/>
        <w:rPr>
          <w:rFonts w:eastAsia="Calibri"/>
          <w:i/>
          <w:iCs/>
          <w:color w:val="000000"/>
          <w:kern w:val="2"/>
          <w:lang w:val="uk-UA" w:eastAsia="en-US"/>
          <w14:ligatures w14:val="standardContextual"/>
        </w:rPr>
      </w:pPr>
      <w:r w:rsidRPr="001A3BAD">
        <w:rPr>
          <w:rFonts w:eastAsia="Calibri"/>
          <w:i/>
          <w:iCs/>
          <w:color w:val="000000"/>
          <w:kern w:val="2"/>
          <w:lang w:val="uk-UA" w:eastAsia="en-US"/>
          <w14:ligatures w14:val="standardContextual"/>
        </w:rPr>
        <w:t>оцінку публічних інвестиційних проєктів;</w:t>
      </w:r>
    </w:p>
    <w:p w14:paraId="69B73298" w14:textId="77777777" w:rsidR="001A3BAD" w:rsidRPr="001A3BAD" w:rsidRDefault="001A3BAD" w:rsidP="001A3BAD">
      <w:pPr>
        <w:numPr>
          <w:ilvl w:val="0"/>
          <w:numId w:val="2"/>
        </w:numPr>
        <w:tabs>
          <w:tab w:val="left" w:pos="993"/>
        </w:tabs>
        <w:spacing w:after="160" w:line="259" w:lineRule="auto"/>
        <w:ind w:left="0" w:firstLine="709"/>
        <w:contextualSpacing/>
        <w:jc w:val="both"/>
        <w:rPr>
          <w:rFonts w:eastAsia="Calibri"/>
          <w:i/>
          <w:iCs/>
          <w:color w:val="000000"/>
          <w:kern w:val="2"/>
          <w:lang w:val="uk-UA" w:eastAsia="en-US"/>
          <w14:ligatures w14:val="standardContextual"/>
        </w:rPr>
      </w:pPr>
      <w:r w:rsidRPr="001A3BAD">
        <w:rPr>
          <w:rFonts w:eastAsia="Calibri"/>
          <w:i/>
          <w:iCs/>
          <w:color w:val="000000"/>
          <w:kern w:val="2"/>
          <w:lang w:val="uk-UA" w:eastAsia="en-US"/>
          <w14:ligatures w14:val="standardContextual"/>
        </w:rPr>
        <w:t xml:space="preserve">формування єдиного проєктного портфеля публічних інвестицій територіальної громади і галузевого (секторального) проєктного портфеля територіальної громади; </w:t>
      </w:r>
    </w:p>
    <w:p w14:paraId="341CF060" w14:textId="77777777" w:rsidR="001A3BAD" w:rsidRPr="001A3BAD" w:rsidRDefault="001A3BAD" w:rsidP="001A3BAD">
      <w:pPr>
        <w:numPr>
          <w:ilvl w:val="0"/>
          <w:numId w:val="2"/>
        </w:numPr>
        <w:tabs>
          <w:tab w:val="left" w:pos="993"/>
        </w:tabs>
        <w:spacing w:after="160" w:line="259" w:lineRule="auto"/>
        <w:ind w:left="0" w:firstLine="709"/>
        <w:contextualSpacing/>
        <w:jc w:val="both"/>
        <w:rPr>
          <w:rFonts w:eastAsia="Calibri"/>
          <w:i/>
          <w:iCs/>
          <w:color w:val="000000"/>
          <w:kern w:val="2"/>
          <w:lang w:val="uk-UA" w:eastAsia="en-US"/>
          <w14:ligatures w14:val="standardContextual"/>
        </w:rPr>
      </w:pPr>
      <w:r w:rsidRPr="001A3BAD">
        <w:rPr>
          <w:rFonts w:eastAsia="Calibri"/>
          <w:i/>
          <w:iCs/>
          <w:color w:val="000000"/>
          <w:kern w:val="2"/>
          <w:lang w:val="uk-UA" w:eastAsia="en-US"/>
          <w14:ligatures w14:val="standardContextual"/>
        </w:rPr>
        <w:t xml:space="preserve">реалізацію публічних інвестиційних проєктів та програм публічних інвестицій на державному, регіональному та місцевому рівні </w:t>
      </w:r>
    </w:p>
    <w:p w14:paraId="553E4FB7" w14:textId="77777777" w:rsidR="001A3BAD" w:rsidRPr="001A3BAD" w:rsidRDefault="001A3BAD" w:rsidP="001A3BAD">
      <w:pPr>
        <w:tabs>
          <w:tab w:val="left" w:pos="993"/>
        </w:tabs>
        <w:ind w:firstLine="709"/>
        <w:contextualSpacing/>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відповідно до Постанови Кабінету Міністрів України від 28 лютого 2025 р. №527.</w:t>
      </w:r>
    </w:p>
    <w:p w14:paraId="52850C33" w14:textId="77777777" w:rsidR="001A3BAD" w:rsidRPr="001A3BAD" w:rsidRDefault="001A3BAD" w:rsidP="001A3BAD">
      <w:pPr>
        <w:jc w:val="both"/>
        <w:rPr>
          <w:rFonts w:eastAsia="Calibri"/>
          <w:color w:val="000000"/>
          <w:kern w:val="2"/>
          <w:lang w:val="uk-UA" w:eastAsia="en-US"/>
          <w14:ligatures w14:val="standardContextual"/>
        </w:rPr>
      </w:pPr>
    </w:p>
    <w:p w14:paraId="5531EFDF"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Середньостроковий план пріоритетних публічних інвестицій територіальної громади схвалюється місцевою інвестиційною радою і затверджується виконавчим комітетом Південнівської міської ради.</w:t>
      </w:r>
    </w:p>
    <w:p w14:paraId="77CC14B3"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Пріоритетність проєктів, включених до Єдиного проєктного портфелю, визначає місцева інвестиційна рада.</w:t>
      </w:r>
    </w:p>
    <w:p w14:paraId="6B431D4C"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lastRenderedPageBreak/>
        <w:t xml:space="preserve">Проєкти, за результатами їх підготовки, оцінки, </w:t>
      </w:r>
      <w:proofErr w:type="spellStart"/>
      <w:r w:rsidRPr="001A3BAD">
        <w:rPr>
          <w:rFonts w:eastAsia="Calibri"/>
          <w:color w:val="000000"/>
          <w:kern w:val="2"/>
          <w:lang w:val="uk-UA" w:eastAsia="en-US"/>
          <w14:ligatures w14:val="standardContextual"/>
        </w:rPr>
        <w:t>пріоритезації</w:t>
      </w:r>
      <w:proofErr w:type="spellEnd"/>
      <w:r w:rsidRPr="001A3BAD">
        <w:rPr>
          <w:rFonts w:eastAsia="Calibri"/>
          <w:color w:val="000000"/>
          <w:kern w:val="2"/>
          <w:lang w:val="uk-UA" w:eastAsia="en-US"/>
          <w14:ligatures w14:val="standardContextual"/>
        </w:rPr>
        <w:t xml:space="preserve"> та відбору, включаються в Єдиний проєктний портфель публічних інвестицій територіальної громади і  формуються в Єдиній державній інформаційній системі інвестиційних проєктів.</w:t>
      </w:r>
    </w:p>
    <w:p w14:paraId="08C7D9A2"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Розподіл коштів місцевого бюджету на підготовку та реалізацію публічних інвестиційних проєктів здійснюється місцевою комісією з питань розподілу публічних інвестицій.</w:t>
      </w:r>
    </w:p>
    <w:p w14:paraId="75F4DA6A"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Фінансове забезпечення заходів з підготовки та реалізації публічних інвестиційних проектів та програм публічних інвестицій здійснюється за рахунок коштів місцевого бюджету та/або з наданням місцевої гарантії виключно щодо відповідних проєктів та програм, включених до єдиного проектного портфеля публічних інвестицій територіальної громади.</w:t>
      </w:r>
    </w:p>
    <w:p w14:paraId="4D6C080C" w14:textId="77777777" w:rsidR="001A3BAD" w:rsidRPr="001A3BAD" w:rsidRDefault="001A3BAD" w:rsidP="001A3BAD">
      <w:pPr>
        <w:jc w:val="both"/>
        <w:rPr>
          <w:rFonts w:eastAsia="Calibri"/>
          <w:color w:val="000000"/>
          <w:kern w:val="2"/>
          <w:lang w:val="uk-UA" w:eastAsia="en-US"/>
          <w14:ligatures w14:val="standardContextual"/>
        </w:rPr>
      </w:pPr>
    </w:p>
    <w:p w14:paraId="447D91CC" w14:textId="77777777" w:rsidR="001A3BAD" w:rsidRPr="001A3BAD" w:rsidRDefault="001A3BAD" w:rsidP="001A3BAD">
      <w:pPr>
        <w:ind w:firstLine="708"/>
        <w:jc w:val="both"/>
        <w:rPr>
          <w:rFonts w:eastAsia="Calibri"/>
          <w:b/>
          <w:bCs/>
          <w:color w:val="000000"/>
          <w:kern w:val="2"/>
          <w:lang w:val="uk-UA" w:eastAsia="en-US"/>
          <w14:ligatures w14:val="standardContextual"/>
        </w:rPr>
      </w:pPr>
      <w:r w:rsidRPr="001A3BAD">
        <w:rPr>
          <w:rFonts w:eastAsia="Calibri"/>
          <w:b/>
          <w:bCs/>
          <w:color w:val="000000"/>
          <w:kern w:val="2"/>
          <w:lang w:val="uk-UA" w:eastAsia="en-US"/>
          <w14:ligatures w14:val="standardContextual"/>
        </w:rPr>
        <w:t>Моніторинг Плану.</w:t>
      </w:r>
    </w:p>
    <w:p w14:paraId="204F05FE"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Середньостроковий план пріоритетних публічних інвестицій Південнівської міської територіальної громади підлягає щорічному оновленню з урахуванням змін бюджету, оцінки виконання, нових ініціатив.</w:t>
      </w:r>
    </w:p>
    <w:p w14:paraId="12A5B4AC"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Звіт про реалізацію Плану готується щороку та публікується на сайті Південнівської міської територіальної громади.</w:t>
      </w:r>
    </w:p>
    <w:p w14:paraId="7A10E453" w14:textId="77777777" w:rsidR="001A3BAD" w:rsidRPr="001A3BAD" w:rsidRDefault="001A3BAD" w:rsidP="001A3BAD">
      <w:pPr>
        <w:jc w:val="both"/>
        <w:rPr>
          <w:rFonts w:eastAsia="Calibri"/>
          <w:color w:val="000000"/>
          <w:kern w:val="2"/>
          <w:lang w:val="uk-UA" w:eastAsia="en-US"/>
          <w14:ligatures w14:val="standardContextual"/>
        </w:rPr>
      </w:pPr>
    </w:p>
    <w:p w14:paraId="75144D0B" w14:textId="77777777" w:rsidR="001A3BAD" w:rsidRPr="001A3BAD" w:rsidRDefault="001A3BAD" w:rsidP="001A3BAD">
      <w:pPr>
        <w:ind w:firstLine="708"/>
        <w:jc w:val="both"/>
        <w:rPr>
          <w:rFonts w:eastAsia="Calibri"/>
          <w:b/>
          <w:bCs/>
          <w:color w:val="000000"/>
          <w:kern w:val="2"/>
          <w:lang w:val="uk-UA" w:eastAsia="en-US"/>
          <w14:ligatures w14:val="standardContextual"/>
        </w:rPr>
      </w:pPr>
      <w:r w:rsidRPr="001A3BAD">
        <w:rPr>
          <w:rFonts w:eastAsia="Calibri"/>
          <w:b/>
          <w:bCs/>
          <w:color w:val="000000"/>
          <w:kern w:val="2"/>
          <w:lang w:val="uk-UA" w:eastAsia="en-US"/>
          <w14:ligatures w14:val="standardContextual"/>
        </w:rPr>
        <w:t>Висновки та очікувані ефекти.</w:t>
      </w:r>
    </w:p>
    <w:p w14:paraId="26DC99CE"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Проєкти, що включені до проєктного портфеля громади та відповідають основним напрямам публічного інвестування, визначеним в Додатку 1 до середньострокового плану, та  включені в Єдиний проєктний портфель публічних інвестицій, відповідно, зможуть отримати фінансування за рахунок коштів державного бюджету та/або з наданням державної підтримки.</w:t>
      </w:r>
    </w:p>
    <w:p w14:paraId="78054295"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Визначення напрямів публічного інвестування відповідних галузей (секторів) для публічного інвестування має значення для подальшої підготовки, оцінки проєктів та програм, а також формування єдиного проєктного портфеля публічних інвестицій територіальної громади.</w:t>
      </w:r>
    </w:p>
    <w:p w14:paraId="7CD84AA8"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Реалізація Плану дозволить:</w:t>
      </w:r>
    </w:p>
    <w:p w14:paraId="10B50B0A"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 xml:space="preserve">забезпечити прозоре використання публічних коштів; </w:t>
      </w:r>
    </w:p>
    <w:p w14:paraId="0C7549CA" w14:textId="77777777" w:rsidR="001A3BAD" w:rsidRPr="001A3BAD" w:rsidRDefault="001A3BAD" w:rsidP="001A3BAD">
      <w:pPr>
        <w:ind w:firstLine="708"/>
        <w:jc w:val="both"/>
        <w:rPr>
          <w:rFonts w:eastAsia="Calibri"/>
          <w:color w:val="000000"/>
          <w:kern w:val="2"/>
          <w:lang w:val="uk-UA" w:eastAsia="en-US"/>
          <w14:ligatures w14:val="standardContextual"/>
        </w:rPr>
      </w:pPr>
      <w:r w:rsidRPr="001A3BAD">
        <w:rPr>
          <w:rFonts w:eastAsia="Calibri"/>
          <w:color w:val="000000"/>
          <w:kern w:val="2"/>
          <w:lang w:val="uk-UA" w:eastAsia="en-US"/>
          <w14:ligatures w14:val="standardContextual"/>
        </w:rPr>
        <w:t>залучити зовнішні інвестиції та донорські ресурси;</w:t>
      </w:r>
    </w:p>
    <w:p w14:paraId="0A9C84FB" w14:textId="77777777" w:rsidR="001A3BAD" w:rsidRPr="001A3BAD" w:rsidRDefault="001A3BAD" w:rsidP="001A3BAD">
      <w:pPr>
        <w:ind w:firstLine="708"/>
        <w:jc w:val="both"/>
        <w:rPr>
          <w:rFonts w:eastAsia="Calibri"/>
          <w:kern w:val="2"/>
          <w:lang w:val="uk-UA" w:eastAsia="en-US"/>
          <w14:ligatures w14:val="standardContextual"/>
        </w:rPr>
      </w:pPr>
      <w:r w:rsidRPr="001A3BAD">
        <w:rPr>
          <w:rFonts w:eastAsia="Calibri"/>
          <w:color w:val="000000"/>
          <w:kern w:val="2"/>
          <w:lang w:val="uk-UA" w:eastAsia="en-US"/>
          <w14:ligatures w14:val="standardContextual"/>
        </w:rPr>
        <w:t xml:space="preserve">досягти </w:t>
      </w:r>
      <w:r w:rsidRPr="001A3BAD">
        <w:rPr>
          <w:rFonts w:eastAsia="Calibri"/>
          <w:kern w:val="2"/>
          <w:lang w:val="uk-UA" w:eastAsia="en-US"/>
          <w14:ligatures w14:val="standardContextual"/>
        </w:rPr>
        <w:t>стратегічних цілей.</w:t>
      </w:r>
    </w:p>
    <w:p w14:paraId="32B12500" w14:textId="77777777" w:rsidR="001A3BAD" w:rsidRPr="001A3BAD" w:rsidRDefault="001A3BAD" w:rsidP="009E43A1">
      <w:pPr>
        <w:pStyle w:val="ae"/>
        <w:rPr>
          <w:rFonts w:eastAsia="Times New Roman"/>
          <w:sz w:val="24"/>
          <w:szCs w:val="24"/>
          <w:lang w:val="uk-UA" w:eastAsia="uk-UA"/>
        </w:rPr>
      </w:pPr>
    </w:p>
    <w:sectPr w:rsidR="001A3BAD" w:rsidRPr="001A3BAD"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ntiqua">
    <w:altName w:val="Corbe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E55FD"/>
    <w:multiLevelType w:val="hybridMultilevel"/>
    <w:tmpl w:val="E258C6D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CDF58A2"/>
    <w:multiLevelType w:val="hybridMultilevel"/>
    <w:tmpl w:val="A5426784"/>
    <w:lvl w:ilvl="0" w:tplc="A114130A">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99051065">
    <w:abstractNumId w:val="0"/>
  </w:num>
  <w:num w:numId="2" w16cid:durableId="991520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ED2"/>
    <w:rsid w:val="001559DF"/>
    <w:rsid w:val="001A3BAD"/>
    <w:rsid w:val="002C7FB0"/>
    <w:rsid w:val="00307D05"/>
    <w:rsid w:val="003C670C"/>
    <w:rsid w:val="005D1EBE"/>
    <w:rsid w:val="006C30CF"/>
    <w:rsid w:val="006C7DE2"/>
    <w:rsid w:val="008E41BF"/>
    <w:rsid w:val="009312AB"/>
    <w:rsid w:val="009E43A1"/>
    <w:rsid w:val="00B84909"/>
    <w:rsid w:val="00BE7B04"/>
    <w:rsid w:val="00C0082A"/>
    <w:rsid w:val="00C16364"/>
    <w:rsid w:val="00CF4ED2"/>
    <w:rsid w:val="00F0577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639B4"/>
  <w15:chartTrackingRefBased/>
  <w15:docId w15:val="{151DBF2F-4057-4599-8B4C-E01AB6D8F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8"/>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CF4ED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CF4ED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CF4ED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CF4ED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CF4ED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CF4ED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CF4ED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CF4ED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CF4ED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4ED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F4ED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F4ED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CF4ED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CF4ED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CF4ED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CF4ED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CF4ED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CF4ED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F4ED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CF4E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ED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CF4ED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CF4ED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CF4ED2"/>
    <w:rPr>
      <w:i/>
      <w:iCs/>
      <w:color w:val="404040" w:themeColor="text1" w:themeTint="BF"/>
    </w:rPr>
  </w:style>
  <w:style w:type="paragraph" w:styleId="a9">
    <w:name w:val="List Paragraph"/>
    <w:basedOn w:val="a"/>
    <w:uiPriority w:val="34"/>
    <w:qFormat/>
    <w:rsid w:val="00CF4ED2"/>
    <w:pPr>
      <w:spacing w:after="160" w:line="278" w:lineRule="auto"/>
      <w:ind w:left="720"/>
      <w:contextualSpacing/>
    </w:pPr>
    <w:rPr>
      <w:rFonts w:eastAsiaTheme="minorEastAsia"/>
      <w:bCs/>
      <w:kern w:val="2"/>
      <w:lang w:eastAsia="zh-CN"/>
      <w14:ligatures w14:val="standardContextual"/>
    </w:rPr>
  </w:style>
  <w:style w:type="character" w:styleId="aa">
    <w:name w:val="Intense Emphasis"/>
    <w:basedOn w:val="a0"/>
    <w:uiPriority w:val="21"/>
    <w:qFormat/>
    <w:rsid w:val="00CF4ED2"/>
    <w:rPr>
      <w:i/>
      <w:iCs/>
      <w:color w:val="2F5496" w:themeColor="accent1" w:themeShade="BF"/>
    </w:rPr>
  </w:style>
  <w:style w:type="paragraph" w:styleId="ab">
    <w:name w:val="Intense Quote"/>
    <w:basedOn w:val="a"/>
    <w:next w:val="a"/>
    <w:link w:val="ac"/>
    <w:uiPriority w:val="30"/>
    <w:qFormat/>
    <w:rsid w:val="00CF4ED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c">
    <w:name w:val="Насичена цитата Знак"/>
    <w:basedOn w:val="a0"/>
    <w:link w:val="ab"/>
    <w:uiPriority w:val="30"/>
    <w:rsid w:val="00CF4ED2"/>
    <w:rPr>
      <w:i/>
      <w:iCs/>
      <w:color w:val="2F5496" w:themeColor="accent1" w:themeShade="BF"/>
    </w:rPr>
  </w:style>
  <w:style w:type="character" w:styleId="ad">
    <w:name w:val="Intense Reference"/>
    <w:basedOn w:val="a0"/>
    <w:uiPriority w:val="32"/>
    <w:qFormat/>
    <w:rsid w:val="00CF4ED2"/>
    <w:rPr>
      <w:b/>
      <w:bCs w:val="0"/>
      <w:smallCaps/>
      <w:color w:val="2F5496" w:themeColor="accent1" w:themeShade="BF"/>
      <w:spacing w:val="5"/>
    </w:rPr>
  </w:style>
  <w:style w:type="paragraph" w:styleId="ae">
    <w:name w:val="No Spacing"/>
    <w:uiPriority w:val="1"/>
    <w:qFormat/>
    <w:rsid w:val="00BE7B04"/>
    <w:pPr>
      <w:spacing w:after="0" w:line="240" w:lineRule="auto"/>
    </w:pPr>
    <w:rPr>
      <w:rFonts w:eastAsia="SimSun"/>
      <w:bCs w:val="0"/>
      <w:kern w:val="0"/>
      <w:sz w:val="22"/>
      <w:szCs w:val="22"/>
      <w:lang w:eastAsia="en-US"/>
      <w14:ligatures w14:val="none"/>
    </w:rPr>
  </w:style>
  <w:style w:type="paragraph" w:styleId="HTML">
    <w:name w:val="HTML Preformatted"/>
    <w:basedOn w:val="a"/>
    <w:link w:val="HTML0"/>
    <w:semiHidden/>
    <w:unhideWhenUsed/>
    <w:qFormat/>
    <w:rsid w:val="00BE7B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semiHidden/>
    <w:qFormat/>
    <w:rsid w:val="00BE7B04"/>
    <w:rPr>
      <w:rFonts w:ascii="Courier New" w:eastAsia="Times New Roman" w:hAnsi="Courier New" w:cs="Courier New"/>
      <w:bCs w:val="0"/>
      <w:kern w:val="0"/>
      <w:sz w:val="20"/>
      <w:szCs w:val="20"/>
      <w:lang w:eastAsia="ru-RU"/>
      <w14:ligatures w14:val="none"/>
    </w:rPr>
  </w:style>
  <w:style w:type="paragraph" w:customStyle="1" w:styleId="11">
    <w:name w:val="Обычный1"/>
    <w:semiHidden/>
    <w:rsid w:val="00BE7B04"/>
    <w:pPr>
      <w:spacing w:before="100" w:beforeAutospacing="1" w:after="100" w:afterAutospacing="1" w:line="240" w:lineRule="auto"/>
    </w:pPr>
    <w:rPr>
      <w:rFonts w:ascii="Antiqua" w:eastAsia="SimSun" w:hAnsi="Antiqua"/>
      <w:bCs w:val="0"/>
      <w:kern w:val="0"/>
      <w:lang w:val="uk-UA" w:eastAsia="uk-UA"/>
      <w14:ligatures w14:val="none"/>
    </w:rPr>
  </w:style>
  <w:style w:type="paragraph" w:styleId="af">
    <w:name w:val="Balloon Text"/>
    <w:basedOn w:val="a"/>
    <w:link w:val="af0"/>
    <w:uiPriority w:val="99"/>
    <w:semiHidden/>
    <w:unhideWhenUsed/>
    <w:rsid w:val="00BE7B04"/>
    <w:rPr>
      <w:rFonts w:ascii="Segoe UI" w:hAnsi="Segoe UI" w:cs="Segoe UI"/>
      <w:sz w:val="18"/>
      <w:szCs w:val="18"/>
    </w:rPr>
  </w:style>
  <w:style w:type="character" w:customStyle="1" w:styleId="af0">
    <w:name w:val="Текст у виносці Знак"/>
    <w:basedOn w:val="a0"/>
    <w:link w:val="af"/>
    <w:uiPriority w:val="99"/>
    <w:semiHidden/>
    <w:rsid w:val="00BE7B04"/>
    <w:rPr>
      <w:rFonts w:ascii="Segoe UI" w:eastAsia="Times New Roman" w:hAnsi="Segoe UI" w:cs="Segoe UI"/>
      <w:bCs w:val="0"/>
      <w:kern w:val="0"/>
      <w:sz w:val="18"/>
      <w:szCs w:val="18"/>
      <w:lang w:eastAsia="ru-RU"/>
      <w14:ligatures w14:val="none"/>
    </w:rPr>
  </w:style>
  <w:style w:type="table" w:styleId="af1">
    <w:name w:val="Table Grid"/>
    <w:basedOn w:val="a1"/>
    <w:uiPriority w:val="39"/>
    <w:rsid w:val="001A3BAD"/>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9189</Words>
  <Characters>5239</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2025-12-15T12:23:00Z</cp:lastPrinted>
  <dcterms:created xsi:type="dcterms:W3CDTF">2025-12-15T12:23:00Z</dcterms:created>
  <dcterms:modified xsi:type="dcterms:W3CDTF">2025-12-19T08:14:00Z</dcterms:modified>
</cp:coreProperties>
</file>