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2EBCC486" w:rsidR="0028580A" w:rsidRDefault="00121864" w:rsidP="00A31E1F">
      <w:pPr>
        <w:ind w:left="56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506BAE6C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4E0F44D8" w14:textId="40C1BC4D" w:rsidR="00121864" w:rsidRDefault="00121864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06ED3CCB" w14:textId="26CE9F19" w:rsidR="008A61C3" w:rsidRPr="00E17C09" w:rsidRDefault="00E17C09" w:rsidP="00E17C09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5FBA45BE" w14:textId="77777777" w:rsidR="00E17C09" w:rsidRPr="00E17C09" w:rsidRDefault="00E17C09" w:rsidP="00E17C09">
      <w:pPr>
        <w:jc w:val="center"/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121864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121864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6E6A3BF2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</w:t>
            </w:r>
            <w:r w:rsidR="00E17C09">
              <w:rPr>
                <w:bCs/>
                <w:lang w:val="uk-UA"/>
              </w:rPr>
              <w:t>Південнів</w:t>
            </w:r>
            <w:r w:rsidR="00EF4756" w:rsidRPr="00823821">
              <w:rPr>
                <w:bCs/>
                <w:lang w:val="uk-UA"/>
              </w:rPr>
              <w:t>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 xml:space="preserve">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74D42008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</w:t>
            </w:r>
            <w:r w:rsidR="00D62979">
              <w:rPr>
                <w:b/>
                <w:lang w:val="uk-UA"/>
              </w:rPr>
              <w:t>42 183,356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6EFA0DD7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D62979">
              <w:rPr>
                <w:b/>
                <w:lang w:val="uk-UA"/>
              </w:rPr>
              <w:t>31 581,767</w:t>
            </w:r>
            <w:r w:rsidR="00B30B5F">
              <w:rPr>
                <w:b/>
                <w:lang w:val="uk-UA"/>
              </w:rPr>
              <w:t xml:space="preserve"> </w:t>
            </w:r>
            <w:r w:rsidR="00F10294" w:rsidRPr="006A5229">
              <w:rPr>
                <w:b/>
                <w:lang w:val="uk-UA"/>
              </w:rPr>
              <w:t>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6C633536" w:rsidR="00971B1A" w:rsidRPr="007F5F37" w:rsidRDefault="00E17C09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</w:t>
            </w:r>
            <w:r w:rsidR="001F076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613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0AA13E8D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="00D62979">
        <w:rPr>
          <w:lang w:val="uk-UA"/>
        </w:rPr>
        <w:t xml:space="preserve"> 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647F81BE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D62979">
        <w:rPr>
          <w:lang w:val="uk-UA"/>
        </w:rPr>
        <w:t xml:space="preserve"> 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lastRenderedPageBreak/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0B7CD764" w14:textId="77777777" w:rsidR="00E17C09" w:rsidRDefault="00E17C09" w:rsidP="001E2D26">
      <w:pPr>
        <w:spacing w:line="360" w:lineRule="auto"/>
        <w:ind w:left="360"/>
        <w:jc w:val="center"/>
        <w:rPr>
          <w:b/>
          <w:lang w:val="uk-UA"/>
        </w:rPr>
      </w:pPr>
    </w:p>
    <w:p w14:paraId="699AE275" w14:textId="77777777" w:rsidR="00E17C09" w:rsidRDefault="00E17C09" w:rsidP="00E17C09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</w:t>
      </w:r>
    </w:p>
    <w:p w14:paraId="7A2BD8DC" w14:textId="75EE82DC" w:rsidR="001E2D26" w:rsidRPr="001E2D26" w:rsidRDefault="001E2D26" w:rsidP="00E17C09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ІІІ.</w:t>
      </w:r>
      <w:r w:rsidR="00E17C09">
        <w:rPr>
          <w:b/>
          <w:lang w:val="uk-UA"/>
        </w:rPr>
        <w:t xml:space="preserve">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E17C09" w:rsidRDefault="00881B7F" w:rsidP="00881B7F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E17C09" w:rsidRDefault="00666F7A" w:rsidP="00666F7A">
      <w:pPr>
        <w:pStyle w:val="a5"/>
        <w:ind w:firstLine="708"/>
        <w:rPr>
          <w:b/>
          <w:sz w:val="16"/>
          <w:szCs w:val="16"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lastRenderedPageBreak/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181C82AA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18CD7BB1" w14:textId="77777777" w:rsidR="00E17C09" w:rsidRPr="00E17C09" w:rsidRDefault="00E17C09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sz w:val="16"/>
          <w:szCs w:val="16"/>
          <w:lang w:val="uk-UA"/>
        </w:rPr>
      </w:pP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72A6833F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742F919B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20C7F28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="00E17C09"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E8412A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05C0A48F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1AD7662A" w14:textId="38DCC193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  <w:r w:rsidR="00D62979">
              <w:rPr>
                <w:bCs/>
                <w:sz w:val="22"/>
                <w:szCs w:val="22"/>
                <w:lang w:val="uk-UA"/>
              </w:rPr>
              <w:t>70 032,047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7E8236DC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42 183,356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05016ED7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534C741C" w:rsidR="006472EC" w:rsidRPr="00E8412A" w:rsidRDefault="00E8412A" w:rsidP="006472EC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E8412A" w:rsidRPr="00934E9F" w14:paraId="5AC82EAC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111508BF" w14:textId="1BAAFD0E" w:rsidR="00E8412A" w:rsidRDefault="00E8412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6EFD3790" w14:textId="61E27364" w:rsidR="00E8412A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034987A7" w14:textId="2305E8ED" w:rsidR="00E8412A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E5BA5B" w14:textId="5809DF84" w:rsidR="00E8412A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B00BE" w14:textId="782FD53B" w:rsidR="00E8412A" w:rsidRDefault="00E8412A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41C01876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65C0AA0F" w14:textId="544453C4" w:rsidR="006472EC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D62979">
              <w:rPr>
                <w:bCs/>
                <w:sz w:val="22"/>
                <w:szCs w:val="22"/>
                <w:lang w:val="uk-UA"/>
              </w:rPr>
              <w:t>7 428,434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1DDA76F4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31 581,767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E17C09" w:rsidRDefault="007D7316" w:rsidP="000A23CD">
      <w:pPr>
        <w:ind w:firstLine="851"/>
        <w:jc w:val="center"/>
        <w:rPr>
          <w:b/>
          <w:sz w:val="16"/>
          <w:szCs w:val="16"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64348618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4E093E61" w14:textId="53AAEC26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5F3250A2" w14:textId="77777777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25177CFA" w14:textId="4EE62227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="00E17C09"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6DB923AF" w14:textId="77777777" w:rsidR="00E17C09" w:rsidRPr="00E17C09" w:rsidRDefault="00E17C09" w:rsidP="000A23CD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E17C09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D28" w14:textId="77777777" w:rsidR="0005458A" w:rsidRDefault="0005458A">
      <w:r>
        <w:separator/>
      </w:r>
    </w:p>
  </w:endnote>
  <w:endnote w:type="continuationSeparator" w:id="0">
    <w:p w14:paraId="7D86161E" w14:textId="77777777" w:rsidR="0005458A" w:rsidRDefault="0005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B3DE" w14:textId="77777777" w:rsidR="0005458A" w:rsidRDefault="0005458A">
      <w:r>
        <w:separator/>
      </w:r>
    </w:p>
  </w:footnote>
  <w:footnote w:type="continuationSeparator" w:id="0">
    <w:p w14:paraId="1FA0C85C" w14:textId="77777777" w:rsidR="0005458A" w:rsidRDefault="0005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458A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0ED"/>
    <w:rsid w:val="00111301"/>
    <w:rsid w:val="00112098"/>
    <w:rsid w:val="0011220A"/>
    <w:rsid w:val="001138F5"/>
    <w:rsid w:val="00115B31"/>
    <w:rsid w:val="0012027D"/>
    <w:rsid w:val="00120627"/>
    <w:rsid w:val="001208A1"/>
    <w:rsid w:val="00121864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498C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0B5F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97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17C09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412A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6485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2256</Words>
  <Characters>17453</Characters>
  <Application>Microsoft Office Word</Application>
  <DocSecurity>0</DocSecurity>
  <Lines>145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2</cp:revision>
  <cp:lastPrinted>2026-05-15T12:41:00Z</cp:lastPrinted>
  <dcterms:created xsi:type="dcterms:W3CDTF">2026-05-15T12:42:00Z</dcterms:created>
  <dcterms:modified xsi:type="dcterms:W3CDTF">2026-05-15T12:42:00Z</dcterms:modified>
</cp:coreProperties>
</file>