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C2" w:rsidRPr="00305F28" w:rsidRDefault="009968C2">
      <w:pPr>
        <w:jc w:val="center"/>
        <w:rPr>
          <w:b/>
          <w:sz w:val="28"/>
        </w:rPr>
      </w:pPr>
      <w:r w:rsidRPr="00305F28">
        <w:rPr>
          <w:b/>
          <w:sz w:val="28"/>
        </w:rPr>
        <w:t xml:space="preserve">Інформація про виконання </w:t>
      </w:r>
    </w:p>
    <w:p w:rsidR="00406D1B" w:rsidRDefault="009968C2">
      <w:pPr>
        <w:jc w:val="center"/>
        <w:rPr>
          <w:b/>
          <w:sz w:val="28"/>
        </w:rPr>
      </w:pPr>
      <w:r w:rsidRPr="00305F28">
        <w:rPr>
          <w:b/>
          <w:sz w:val="28"/>
        </w:rPr>
        <w:t xml:space="preserve">бюджету </w:t>
      </w:r>
      <w:r w:rsidR="00C82367">
        <w:rPr>
          <w:b/>
          <w:sz w:val="28"/>
        </w:rPr>
        <w:t>Великобичківської селищної</w:t>
      </w:r>
      <w:r w:rsidR="003C71C6" w:rsidRPr="00305F28">
        <w:rPr>
          <w:b/>
          <w:sz w:val="28"/>
        </w:rPr>
        <w:t xml:space="preserve"> територіальної громади </w:t>
      </w:r>
    </w:p>
    <w:p w:rsidR="009968C2" w:rsidRPr="00305F28" w:rsidRDefault="00AF2F85">
      <w:pPr>
        <w:jc w:val="center"/>
      </w:pPr>
      <w:r>
        <w:rPr>
          <w:b/>
          <w:sz w:val="28"/>
        </w:rPr>
        <w:t xml:space="preserve">за перше півріччя </w:t>
      </w:r>
      <w:r w:rsidR="003C71C6" w:rsidRPr="00305F28">
        <w:rPr>
          <w:b/>
          <w:sz w:val="28"/>
        </w:rPr>
        <w:t>2021</w:t>
      </w:r>
      <w:r w:rsidR="009968C2" w:rsidRPr="00305F28">
        <w:rPr>
          <w:b/>
          <w:sz w:val="28"/>
        </w:rPr>
        <w:t xml:space="preserve"> року</w:t>
      </w:r>
    </w:p>
    <w:p w:rsidR="009968C2" w:rsidRPr="00305F28" w:rsidRDefault="009968C2" w:rsidP="00C82367">
      <w:pPr>
        <w:jc w:val="both"/>
      </w:pPr>
    </w:p>
    <w:p w:rsidR="005A75AB" w:rsidRPr="007E5A82" w:rsidRDefault="007E5A82" w:rsidP="004A2AA1">
      <w:pPr>
        <w:suppressAutoHyphens w:val="0"/>
        <w:spacing w:before="240"/>
        <w:jc w:val="both"/>
        <w:rPr>
          <w:b/>
          <w:bCs/>
          <w:sz w:val="28"/>
          <w:szCs w:val="28"/>
          <w:lang w:val="ru-RU" w:eastAsia="ru-RU"/>
        </w:rPr>
      </w:pPr>
      <w:r>
        <w:rPr>
          <w:sz w:val="28"/>
          <w:szCs w:val="28"/>
        </w:rPr>
        <w:t>За І півріччя</w:t>
      </w:r>
      <w:r w:rsidR="005A75AB" w:rsidRPr="00305F28">
        <w:rPr>
          <w:sz w:val="28"/>
          <w:szCs w:val="28"/>
        </w:rPr>
        <w:t xml:space="preserve"> 2021 року до загального та спеціального фондів (враховуючи трансферти) бюджету </w:t>
      </w:r>
      <w:r w:rsidR="00C82367">
        <w:rPr>
          <w:sz w:val="28"/>
          <w:szCs w:val="28"/>
        </w:rPr>
        <w:t>селищної</w:t>
      </w:r>
      <w:r w:rsidR="005A75AB" w:rsidRPr="00305F28">
        <w:rPr>
          <w:sz w:val="28"/>
          <w:szCs w:val="28"/>
        </w:rPr>
        <w:t xml:space="preserve"> територіальної громади надійшло </w:t>
      </w:r>
      <w:r w:rsidRPr="007E5A82">
        <w:rPr>
          <w:bCs/>
          <w:sz w:val="28"/>
          <w:szCs w:val="28"/>
          <w:lang w:val="ru-RU" w:eastAsia="ru-RU"/>
        </w:rPr>
        <w:t>129 956,7</w:t>
      </w:r>
      <w:r w:rsidR="00F722FF">
        <w:rPr>
          <w:bCs/>
          <w:sz w:val="28"/>
          <w:szCs w:val="28"/>
          <w:lang w:val="ru-RU" w:eastAsia="ru-RU"/>
        </w:rPr>
        <w:t>8</w:t>
      </w:r>
      <w:r>
        <w:rPr>
          <w:b/>
          <w:bCs/>
          <w:sz w:val="28"/>
          <w:szCs w:val="28"/>
          <w:lang w:val="ru-RU" w:eastAsia="ru-RU"/>
        </w:rPr>
        <w:t xml:space="preserve"> </w:t>
      </w:r>
      <w:r w:rsidR="005A75AB" w:rsidRPr="00305F28">
        <w:rPr>
          <w:sz w:val="28"/>
          <w:szCs w:val="28"/>
        </w:rPr>
        <w:t>тис.</w:t>
      </w:r>
      <w:r w:rsidR="009361D0" w:rsidRPr="00305F28">
        <w:rPr>
          <w:sz w:val="28"/>
          <w:szCs w:val="28"/>
        </w:rPr>
        <w:t> </w:t>
      </w:r>
      <w:r w:rsidR="005A75AB" w:rsidRPr="00305F28">
        <w:rPr>
          <w:sz w:val="28"/>
          <w:szCs w:val="28"/>
        </w:rPr>
        <w:t>грн доходів, з них до загального фонду</w:t>
      </w:r>
      <w:r w:rsidR="004A2AA1">
        <w:rPr>
          <w:sz w:val="28"/>
          <w:szCs w:val="28"/>
        </w:rPr>
        <w:t xml:space="preserve"> (не враховуючи трансферт)</w:t>
      </w:r>
      <w:r w:rsidR="005A75AB" w:rsidRPr="00305F28">
        <w:rPr>
          <w:sz w:val="28"/>
          <w:szCs w:val="28"/>
        </w:rPr>
        <w:t xml:space="preserve"> –</w:t>
      </w:r>
      <w:r>
        <w:rPr>
          <w:bCs/>
          <w:sz w:val="28"/>
          <w:szCs w:val="28"/>
          <w:lang w:val="ru-RU" w:eastAsia="ru-RU"/>
        </w:rPr>
        <w:t xml:space="preserve"> </w:t>
      </w:r>
      <w:r w:rsidR="004A2AA1">
        <w:rPr>
          <w:bCs/>
          <w:sz w:val="28"/>
          <w:szCs w:val="28"/>
          <w:lang w:val="ru-RU" w:eastAsia="ru-RU"/>
        </w:rPr>
        <w:t>30</w:t>
      </w:r>
      <w:r w:rsidR="00F722FF">
        <w:rPr>
          <w:bCs/>
          <w:sz w:val="28"/>
          <w:szCs w:val="28"/>
          <w:lang w:val="ru-RU" w:eastAsia="ru-RU"/>
        </w:rPr>
        <w:t xml:space="preserve"> </w:t>
      </w:r>
      <w:r w:rsidR="004A2AA1">
        <w:rPr>
          <w:bCs/>
          <w:sz w:val="28"/>
          <w:szCs w:val="28"/>
          <w:lang w:val="ru-RU" w:eastAsia="ru-RU"/>
        </w:rPr>
        <w:t xml:space="preserve">381,09 </w:t>
      </w:r>
      <w:r w:rsidR="005A75AB" w:rsidRPr="00305F28">
        <w:rPr>
          <w:sz w:val="28"/>
          <w:szCs w:val="28"/>
        </w:rPr>
        <w:t>тис.</w:t>
      </w:r>
      <w:r w:rsidR="009361D0" w:rsidRPr="00305F28">
        <w:rPr>
          <w:sz w:val="28"/>
          <w:szCs w:val="28"/>
        </w:rPr>
        <w:t> </w:t>
      </w:r>
      <w:r w:rsidR="005A75AB" w:rsidRPr="00305F28">
        <w:rPr>
          <w:sz w:val="28"/>
          <w:szCs w:val="28"/>
        </w:rPr>
        <w:t xml:space="preserve">грн, що становить </w:t>
      </w:r>
      <w:r w:rsidR="004A2AA1">
        <w:rPr>
          <w:sz w:val="28"/>
          <w:szCs w:val="28"/>
        </w:rPr>
        <w:t>106,9</w:t>
      </w:r>
      <w:r w:rsidR="00EE19AE">
        <w:rPr>
          <w:sz w:val="28"/>
          <w:szCs w:val="28"/>
        </w:rPr>
        <w:t>0</w:t>
      </w:r>
      <w:r w:rsidR="005A75AB" w:rsidRPr="00305F28">
        <w:rPr>
          <w:sz w:val="28"/>
          <w:szCs w:val="28"/>
        </w:rPr>
        <w:t xml:space="preserve"> %</w:t>
      </w:r>
      <w:r w:rsidR="004A2AA1">
        <w:rPr>
          <w:sz w:val="28"/>
          <w:szCs w:val="28"/>
        </w:rPr>
        <w:t xml:space="preserve">. Трансфертів </w:t>
      </w:r>
      <w:r w:rsidR="00F722FF">
        <w:rPr>
          <w:sz w:val="28"/>
          <w:szCs w:val="28"/>
        </w:rPr>
        <w:t>–</w:t>
      </w:r>
      <w:r w:rsidR="00EE19AE">
        <w:rPr>
          <w:sz w:val="28"/>
          <w:szCs w:val="28"/>
        </w:rPr>
        <w:t xml:space="preserve"> 98</w:t>
      </w:r>
      <w:r w:rsidR="00F722FF">
        <w:rPr>
          <w:sz w:val="28"/>
          <w:szCs w:val="28"/>
        </w:rPr>
        <w:t xml:space="preserve"> </w:t>
      </w:r>
      <w:r w:rsidR="00EE19AE">
        <w:rPr>
          <w:sz w:val="28"/>
          <w:szCs w:val="28"/>
        </w:rPr>
        <w:t>715,2</w:t>
      </w:r>
      <w:r w:rsidR="00F722FF">
        <w:rPr>
          <w:sz w:val="28"/>
          <w:szCs w:val="28"/>
        </w:rPr>
        <w:t>0</w:t>
      </w:r>
      <w:r w:rsidR="00F722FF" w:rsidRPr="00F722FF">
        <w:rPr>
          <w:sz w:val="28"/>
          <w:szCs w:val="28"/>
        </w:rPr>
        <w:t xml:space="preserve"> </w:t>
      </w:r>
      <w:r w:rsidR="00F722FF" w:rsidRPr="00305F28">
        <w:rPr>
          <w:sz w:val="28"/>
          <w:szCs w:val="28"/>
        </w:rPr>
        <w:t>тис. грн</w:t>
      </w:r>
      <w:r w:rsidR="00F722FF">
        <w:rPr>
          <w:sz w:val="28"/>
          <w:szCs w:val="28"/>
        </w:rPr>
        <w:t>,</w:t>
      </w:r>
      <w:r w:rsidR="00EE19AE">
        <w:rPr>
          <w:sz w:val="28"/>
          <w:szCs w:val="28"/>
        </w:rPr>
        <w:t xml:space="preserve"> </w:t>
      </w:r>
      <w:r w:rsidR="004A2AA1">
        <w:rPr>
          <w:sz w:val="28"/>
          <w:szCs w:val="28"/>
        </w:rPr>
        <w:t xml:space="preserve">що становить 100% </w:t>
      </w:r>
      <w:r w:rsidR="005A75AB" w:rsidRPr="00305F28">
        <w:rPr>
          <w:sz w:val="28"/>
          <w:szCs w:val="28"/>
        </w:rPr>
        <w:t>до плану на звітну дату, спеціального –</w:t>
      </w:r>
      <w:r w:rsidR="00EE19AE">
        <w:rPr>
          <w:sz w:val="28"/>
          <w:szCs w:val="28"/>
        </w:rPr>
        <w:t xml:space="preserve"> 860,4</w:t>
      </w:r>
      <w:r w:rsidR="00F722FF">
        <w:rPr>
          <w:sz w:val="28"/>
          <w:szCs w:val="28"/>
        </w:rPr>
        <w:t>9</w:t>
      </w:r>
      <w:r w:rsidR="00EE19AE">
        <w:rPr>
          <w:sz w:val="28"/>
          <w:szCs w:val="28"/>
        </w:rPr>
        <w:t xml:space="preserve"> </w:t>
      </w:r>
      <w:r w:rsidR="005A75AB" w:rsidRPr="00305F28">
        <w:rPr>
          <w:sz w:val="28"/>
          <w:szCs w:val="28"/>
        </w:rPr>
        <w:t>тис.</w:t>
      </w:r>
      <w:r w:rsidR="00AF2F85">
        <w:rPr>
          <w:sz w:val="28"/>
          <w:szCs w:val="28"/>
        </w:rPr>
        <w:t xml:space="preserve"> </w:t>
      </w:r>
      <w:r w:rsidR="005A75AB" w:rsidRPr="00305F28">
        <w:rPr>
          <w:sz w:val="28"/>
          <w:szCs w:val="28"/>
        </w:rPr>
        <w:t xml:space="preserve">грн, або </w:t>
      </w:r>
      <w:r w:rsidR="00EE19AE">
        <w:rPr>
          <w:sz w:val="28"/>
          <w:szCs w:val="28"/>
        </w:rPr>
        <w:t>64,2</w:t>
      </w:r>
      <w:r w:rsidR="0055153B">
        <w:rPr>
          <w:sz w:val="28"/>
          <w:szCs w:val="28"/>
        </w:rPr>
        <w:t>0</w:t>
      </w:r>
      <w:r w:rsidR="005A75AB" w:rsidRPr="00305F28">
        <w:rPr>
          <w:sz w:val="28"/>
          <w:szCs w:val="28"/>
        </w:rPr>
        <w:t>% до плану на відповідний період.</w:t>
      </w:r>
    </w:p>
    <w:p w:rsidR="005A75AB" w:rsidRPr="00305F28" w:rsidRDefault="005A75AB" w:rsidP="005A75AB">
      <w:pPr>
        <w:jc w:val="both"/>
        <w:rPr>
          <w:sz w:val="28"/>
          <w:szCs w:val="28"/>
        </w:rPr>
      </w:pPr>
      <w:r w:rsidRPr="00305F28">
        <w:rPr>
          <w:sz w:val="28"/>
          <w:szCs w:val="28"/>
        </w:rPr>
        <w:tab/>
      </w:r>
    </w:p>
    <w:p w:rsidR="005A75AB" w:rsidRPr="00305F28" w:rsidRDefault="005A75AB" w:rsidP="005A75AB">
      <w:pPr>
        <w:jc w:val="both"/>
        <w:rPr>
          <w:sz w:val="28"/>
          <w:szCs w:val="28"/>
        </w:rPr>
      </w:pPr>
    </w:p>
    <w:p w:rsidR="005A75AB" w:rsidRPr="00305F28" w:rsidRDefault="00784BCB" w:rsidP="00A4371A">
      <w:pPr>
        <w:jc w:val="center"/>
        <w:rPr>
          <w:sz w:val="28"/>
          <w:szCs w:val="28"/>
        </w:rPr>
      </w:pPr>
      <w:r w:rsidRPr="00305F28">
        <w:rPr>
          <w:noProof/>
          <w:sz w:val="28"/>
          <w:szCs w:val="28"/>
          <w:lang w:eastAsia="uk-UA"/>
        </w:rPr>
        <w:drawing>
          <wp:inline distT="0" distB="0" distL="0" distR="0">
            <wp:extent cx="5486400" cy="3220085"/>
            <wp:effectExtent l="0" t="0" r="0" b="0"/>
            <wp:docPr id="1"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75AB" w:rsidRPr="00305F28" w:rsidRDefault="005A75AB" w:rsidP="005A75AB">
      <w:pPr>
        <w:jc w:val="both"/>
        <w:rPr>
          <w:sz w:val="28"/>
          <w:szCs w:val="28"/>
        </w:rPr>
      </w:pPr>
    </w:p>
    <w:p w:rsidR="009968C2" w:rsidRPr="00305F28" w:rsidRDefault="009968C2">
      <w:pPr>
        <w:pStyle w:val="a6"/>
        <w:ind w:firstLine="900"/>
        <w:rPr>
          <w:szCs w:val="28"/>
          <w:shd w:val="clear" w:color="auto" w:fill="FFFF00"/>
        </w:rPr>
      </w:pPr>
      <w:r w:rsidRPr="00305F28">
        <w:rPr>
          <w:b/>
          <w:szCs w:val="28"/>
        </w:rPr>
        <w:t xml:space="preserve">Загальний обсяг </w:t>
      </w:r>
      <w:r w:rsidR="007D5ABB">
        <w:rPr>
          <w:b/>
          <w:szCs w:val="28"/>
        </w:rPr>
        <w:t>офіційних трансфертів</w:t>
      </w:r>
      <w:r w:rsidRPr="00305F28">
        <w:rPr>
          <w:szCs w:val="28"/>
        </w:rPr>
        <w:t xml:space="preserve"> до загального фонду </w:t>
      </w:r>
      <w:r w:rsidR="00625DB8">
        <w:rPr>
          <w:szCs w:val="28"/>
        </w:rPr>
        <w:t>селищного</w:t>
      </w:r>
      <w:r w:rsidR="003E161A" w:rsidRPr="00305F28">
        <w:rPr>
          <w:szCs w:val="28"/>
        </w:rPr>
        <w:t xml:space="preserve"> бюджету на</w:t>
      </w:r>
      <w:r w:rsidR="00EE19AE">
        <w:rPr>
          <w:szCs w:val="28"/>
        </w:rPr>
        <w:t xml:space="preserve"> І півріччя </w:t>
      </w:r>
      <w:r w:rsidR="003E161A" w:rsidRPr="00305F28">
        <w:rPr>
          <w:szCs w:val="28"/>
        </w:rPr>
        <w:t>2021</w:t>
      </w:r>
      <w:r w:rsidR="00625DB8">
        <w:rPr>
          <w:szCs w:val="28"/>
        </w:rPr>
        <w:t xml:space="preserve"> ро</w:t>
      </w:r>
      <w:r w:rsidRPr="00305F28">
        <w:rPr>
          <w:szCs w:val="28"/>
        </w:rPr>
        <w:t>к</w:t>
      </w:r>
      <w:r w:rsidR="00625DB8">
        <w:rPr>
          <w:szCs w:val="28"/>
        </w:rPr>
        <w:t>у</w:t>
      </w:r>
      <w:r w:rsidRPr="00305F28">
        <w:rPr>
          <w:szCs w:val="28"/>
        </w:rPr>
        <w:t xml:space="preserve"> </w:t>
      </w:r>
      <w:r w:rsidR="007D5ABB">
        <w:rPr>
          <w:szCs w:val="28"/>
        </w:rPr>
        <w:t>надійшло</w:t>
      </w:r>
      <w:r w:rsidRPr="00305F28">
        <w:rPr>
          <w:szCs w:val="28"/>
        </w:rPr>
        <w:t xml:space="preserve"> </w:t>
      </w:r>
      <w:r w:rsidR="007D5ABB">
        <w:rPr>
          <w:szCs w:val="28"/>
        </w:rPr>
        <w:t>98 715,20</w:t>
      </w:r>
      <w:r w:rsidR="00EE19AE">
        <w:rPr>
          <w:szCs w:val="28"/>
        </w:rPr>
        <w:t xml:space="preserve"> </w:t>
      </w:r>
      <w:r w:rsidRPr="00305F28">
        <w:rPr>
          <w:szCs w:val="28"/>
        </w:rPr>
        <w:t>тис. грн., а саме: базова дотація –</w:t>
      </w:r>
      <w:r w:rsidR="00EE19AE">
        <w:rPr>
          <w:szCs w:val="28"/>
        </w:rPr>
        <w:t xml:space="preserve"> 22 652,40 </w:t>
      </w:r>
      <w:r w:rsidR="00EC27E5" w:rsidRPr="00305F28">
        <w:rPr>
          <w:szCs w:val="28"/>
        </w:rPr>
        <w:t>тис.</w:t>
      </w:r>
      <w:r w:rsidR="009361D0" w:rsidRPr="00305F28">
        <w:rPr>
          <w:szCs w:val="28"/>
        </w:rPr>
        <w:t> </w:t>
      </w:r>
      <w:r w:rsidR="00EC27E5" w:rsidRPr="00305F28">
        <w:rPr>
          <w:szCs w:val="28"/>
        </w:rPr>
        <w:t>грн</w:t>
      </w:r>
      <w:r w:rsidRPr="00305F28">
        <w:rPr>
          <w:szCs w:val="28"/>
        </w:rPr>
        <w:t xml:space="preserve">, </w:t>
      </w:r>
      <w:r w:rsidR="00B50CEF" w:rsidRPr="00305F28">
        <w:rPr>
          <w:szCs w:val="28"/>
        </w:rPr>
        <w:t>освітня</w:t>
      </w:r>
      <w:r w:rsidRPr="00305F28">
        <w:rPr>
          <w:szCs w:val="28"/>
        </w:rPr>
        <w:t xml:space="preserve"> субвенцію з державного бюджету місцевим бюджетам –</w:t>
      </w:r>
      <w:r w:rsidR="00EE19AE">
        <w:rPr>
          <w:szCs w:val="28"/>
        </w:rPr>
        <w:t xml:space="preserve"> 73 006,50 </w:t>
      </w:r>
      <w:r w:rsidR="00EC27E5" w:rsidRPr="00305F28">
        <w:rPr>
          <w:szCs w:val="28"/>
        </w:rPr>
        <w:t>тис.</w:t>
      </w:r>
      <w:r w:rsidR="009361D0" w:rsidRPr="00305F28">
        <w:rPr>
          <w:szCs w:val="28"/>
        </w:rPr>
        <w:t> </w:t>
      </w:r>
      <w:r w:rsidR="00EC27E5" w:rsidRPr="00305F28">
        <w:rPr>
          <w:szCs w:val="28"/>
        </w:rPr>
        <w:t>грн</w:t>
      </w:r>
      <w:r w:rsidR="00FC093E">
        <w:rPr>
          <w:szCs w:val="28"/>
        </w:rPr>
        <w:t>.</w:t>
      </w:r>
      <w:r w:rsidRPr="00305F28">
        <w:rPr>
          <w:szCs w:val="28"/>
        </w:rPr>
        <w:t xml:space="preserve">, </w:t>
      </w:r>
      <w:r w:rsidR="00FC093E">
        <w:rPr>
          <w:szCs w:val="28"/>
        </w:rPr>
        <w:t xml:space="preserve">дотації </w:t>
      </w:r>
      <w:r w:rsidR="001A33DD">
        <w:rPr>
          <w:szCs w:val="28"/>
        </w:rPr>
        <w:t>на утримання закладів освіти та охорони здоров’я за рахунок дотації з державного бюджету</w:t>
      </w:r>
      <w:r w:rsidR="00250709">
        <w:rPr>
          <w:szCs w:val="28"/>
        </w:rPr>
        <w:t xml:space="preserve"> –</w:t>
      </w:r>
      <w:r w:rsidR="00EE19AE">
        <w:rPr>
          <w:szCs w:val="28"/>
        </w:rPr>
        <w:t xml:space="preserve"> 2 175,60 </w:t>
      </w:r>
      <w:r w:rsidR="00250709">
        <w:rPr>
          <w:szCs w:val="28"/>
        </w:rPr>
        <w:t>тис. грн.</w:t>
      </w:r>
      <w:r w:rsidR="001A33DD">
        <w:rPr>
          <w:szCs w:val="28"/>
        </w:rPr>
        <w:t>,</w:t>
      </w:r>
      <w:r w:rsidR="00250709">
        <w:rPr>
          <w:szCs w:val="28"/>
        </w:rPr>
        <w:t xml:space="preserve">  </w:t>
      </w:r>
      <w:r w:rsidR="001A33DD">
        <w:rPr>
          <w:rStyle w:val="jsgrdq"/>
          <w:color w:val="000000"/>
        </w:rPr>
        <w:t>субвенція з місцевого бюджету на надання державної підтримки особам з особливими освітніми потребами</w:t>
      </w:r>
      <w:r w:rsidR="001A33DD">
        <w:rPr>
          <w:szCs w:val="28"/>
        </w:rPr>
        <w:t xml:space="preserve"> </w:t>
      </w:r>
      <w:r w:rsidR="00250709">
        <w:rPr>
          <w:szCs w:val="28"/>
        </w:rPr>
        <w:t>–</w:t>
      </w:r>
      <w:r w:rsidR="00EE19AE">
        <w:rPr>
          <w:szCs w:val="28"/>
        </w:rPr>
        <w:t xml:space="preserve"> </w:t>
      </w:r>
      <w:r w:rsidR="001A33DD">
        <w:rPr>
          <w:szCs w:val="28"/>
        </w:rPr>
        <w:t>217,60</w:t>
      </w:r>
      <w:r w:rsidR="00EE19AE">
        <w:rPr>
          <w:szCs w:val="28"/>
        </w:rPr>
        <w:t xml:space="preserve"> </w:t>
      </w:r>
      <w:r w:rsidR="00250709">
        <w:rPr>
          <w:szCs w:val="28"/>
        </w:rPr>
        <w:t>тис. грн.</w:t>
      </w:r>
      <w:r w:rsidR="001A33DD" w:rsidRPr="001A33DD">
        <w:rPr>
          <w:szCs w:val="28"/>
        </w:rPr>
        <w:t xml:space="preserve"> </w:t>
      </w:r>
      <w:r w:rsidR="001A33DD">
        <w:rPr>
          <w:szCs w:val="28"/>
        </w:rPr>
        <w:t xml:space="preserve">та </w:t>
      </w:r>
      <w:r w:rsidR="001A33DD">
        <w:rPr>
          <w:rStyle w:val="jsgrdq"/>
          <w:color w:val="000000"/>
        </w:rPr>
        <w:t>субвенція з місцевого бюджету на здійснення підтримки окремих закладів у системі охорони здоров`я</w:t>
      </w:r>
      <w:r w:rsidR="001A33DD">
        <w:rPr>
          <w:szCs w:val="28"/>
        </w:rPr>
        <w:t xml:space="preserve"> – 663,10 тис. грн..</w:t>
      </w:r>
    </w:p>
    <w:p w:rsidR="009968C2" w:rsidRPr="00305F28" w:rsidRDefault="009968C2">
      <w:pPr>
        <w:pStyle w:val="a6"/>
        <w:rPr>
          <w:szCs w:val="28"/>
          <w:shd w:val="clear" w:color="auto" w:fill="FFFF00"/>
        </w:rPr>
      </w:pPr>
    </w:p>
    <w:p w:rsidR="009968C2" w:rsidRPr="00305F28" w:rsidRDefault="00EE19AE" w:rsidP="00980C48">
      <w:pPr>
        <w:pStyle w:val="a6"/>
        <w:rPr>
          <w:szCs w:val="28"/>
        </w:rPr>
      </w:pPr>
      <w:r>
        <w:rPr>
          <w:szCs w:val="28"/>
        </w:rPr>
        <w:t>За січень-червень</w:t>
      </w:r>
      <w:r w:rsidR="007B025D">
        <w:rPr>
          <w:szCs w:val="28"/>
        </w:rPr>
        <w:t xml:space="preserve"> </w:t>
      </w:r>
      <w:r w:rsidR="009968C2" w:rsidRPr="00305F28">
        <w:rPr>
          <w:szCs w:val="28"/>
        </w:rPr>
        <w:t>202</w:t>
      </w:r>
      <w:r w:rsidR="00CE1C9B" w:rsidRPr="00305F28">
        <w:rPr>
          <w:szCs w:val="28"/>
        </w:rPr>
        <w:t>1</w:t>
      </w:r>
      <w:r w:rsidR="009968C2" w:rsidRPr="00305F28">
        <w:rPr>
          <w:szCs w:val="28"/>
        </w:rPr>
        <w:t xml:space="preserve"> року надійшло доходів до загального фонду </w:t>
      </w:r>
      <w:r w:rsidR="00CE1C9B" w:rsidRPr="00305F28">
        <w:rPr>
          <w:szCs w:val="28"/>
        </w:rPr>
        <w:t>місцевого</w:t>
      </w:r>
      <w:r w:rsidR="009968C2" w:rsidRPr="00305F28">
        <w:rPr>
          <w:szCs w:val="28"/>
        </w:rPr>
        <w:t xml:space="preserve"> бюджету</w:t>
      </w:r>
      <w:r w:rsidR="007B025D">
        <w:rPr>
          <w:szCs w:val="28"/>
        </w:rPr>
        <w:t xml:space="preserve"> (без урахування трансфертів) 30 381,09 </w:t>
      </w:r>
      <w:r w:rsidR="00CE1C9B" w:rsidRPr="00305F28">
        <w:rPr>
          <w:szCs w:val="28"/>
        </w:rPr>
        <w:t>тис. грн</w:t>
      </w:r>
      <w:r w:rsidR="009968C2" w:rsidRPr="00305F28">
        <w:rPr>
          <w:szCs w:val="28"/>
        </w:rPr>
        <w:t xml:space="preserve">, що становить </w:t>
      </w:r>
      <w:r w:rsidR="007B025D">
        <w:rPr>
          <w:szCs w:val="28"/>
        </w:rPr>
        <w:t>106,90 %</w:t>
      </w:r>
      <w:r w:rsidR="009968C2" w:rsidRPr="00305F28">
        <w:rPr>
          <w:szCs w:val="28"/>
        </w:rPr>
        <w:t xml:space="preserve"> плану на відповідний період 202</w:t>
      </w:r>
      <w:r w:rsidR="00CE1C9B" w:rsidRPr="00305F28">
        <w:rPr>
          <w:szCs w:val="28"/>
        </w:rPr>
        <w:t>1</w:t>
      </w:r>
      <w:r w:rsidR="009968C2" w:rsidRPr="00305F28">
        <w:rPr>
          <w:szCs w:val="28"/>
        </w:rPr>
        <w:t xml:space="preserve"> року, в тому числі надходжень податків і зборів  - </w:t>
      </w:r>
      <w:r w:rsidR="007B025D">
        <w:rPr>
          <w:szCs w:val="28"/>
        </w:rPr>
        <w:t>30</w:t>
      </w:r>
      <w:r w:rsidR="00E45A36">
        <w:rPr>
          <w:szCs w:val="28"/>
        </w:rPr>
        <w:t xml:space="preserve"> </w:t>
      </w:r>
      <w:r w:rsidR="007B025D">
        <w:rPr>
          <w:szCs w:val="28"/>
        </w:rPr>
        <w:t>112,22</w:t>
      </w:r>
      <w:r w:rsidR="00CE1C9B" w:rsidRPr="00305F28">
        <w:rPr>
          <w:szCs w:val="28"/>
        </w:rPr>
        <w:t xml:space="preserve"> тис. грн</w:t>
      </w:r>
      <w:r w:rsidR="009968C2" w:rsidRPr="00305F28">
        <w:rPr>
          <w:szCs w:val="28"/>
        </w:rPr>
        <w:t xml:space="preserve">, що складає </w:t>
      </w:r>
      <w:r w:rsidR="00CE1C9B" w:rsidRPr="00305F28">
        <w:rPr>
          <w:szCs w:val="28"/>
        </w:rPr>
        <w:t>1</w:t>
      </w:r>
      <w:r w:rsidR="007B025D">
        <w:rPr>
          <w:szCs w:val="28"/>
        </w:rPr>
        <w:t>06,67 % до плану на січень-червень</w:t>
      </w:r>
      <w:r w:rsidR="009968C2" w:rsidRPr="00305F28">
        <w:rPr>
          <w:szCs w:val="28"/>
        </w:rPr>
        <w:t xml:space="preserve"> 202</w:t>
      </w:r>
      <w:r w:rsidR="00CE1C9B" w:rsidRPr="00305F28">
        <w:rPr>
          <w:szCs w:val="28"/>
        </w:rPr>
        <w:t>1</w:t>
      </w:r>
      <w:r w:rsidR="00980C48" w:rsidRPr="00305F28">
        <w:rPr>
          <w:szCs w:val="28"/>
        </w:rPr>
        <w:t xml:space="preserve"> року.</w:t>
      </w:r>
    </w:p>
    <w:p w:rsidR="00980C48" w:rsidRPr="00305F28" w:rsidRDefault="00980C48" w:rsidP="00980C48">
      <w:pPr>
        <w:pStyle w:val="a6"/>
        <w:rPr>
          <w:szCs w:val="28"/>
        </w:rPr>
      </w:pPr>
    </w:p>
    <w:p w:rsidR="009968C2" w:rsidRPr="00E45A36" w:rsidRDefault="009968C2">
      <w:pPr>
        <w:pStyle w:val="a6"/>
      </w:pPr>
      <w:r w:rsidRPr="00305F28">
        <w:rPr>
          <w:bCs/>
          <w:iCs/>
        </w:rPr>
        <w:lastRenderedPageBreak/>
        <w:t>Фактичне надходження податку та збору на доходи з фізичних осіб</w:t>
      </w:r>
      <w:r w:rsidR="00250709">
        <w:rPr>
          <w:bCs/>
          <w:iCs/>
        </w:rPr>
        <w:t xml:space="preserve"> </w:t>
      </w:r>
      <w:r w:rsidRPr="00305F28">
        <w:t xml:space="preserve">за </w:t>
      </w:r>
      <w:r w:rsidR="00210330">
        <w:rPr>
          <w:szCs w:val="28"/>
        </w:rPr>
        <w:t>січень-червень</w:t>
      </w:r>
      <w:r w:rsidR="00B50CEF" w:rsidRPr="00305F28">
        <w:rPr>
          <w:szCs w:val="28"/>
        </w:rPr>
        <w:t xml:space="preserve"> 2021</w:t>
      </w:r>
      <w:r w:rsidRPr="00305F28">
        <w:rPr>
          <w:szCs w:val="28"/>
        </w:rPr>
        <w:t xml:space="preserve"> року</w:t>
      </w:r>
      <w:r w:rsidRPr="00305F28">
        <w:t xml:space="preserve"> в </w:t>
      </w:r>
      <w:r w:rsidR="00250709">
        <w:t>селищному</w:t>
      </w:r>
      <w:r w:rsidR="00E45A36">
        <w:t xml:space="preserve"> бюджеті становить 17 394,30</w:t>
      </w:r>
      <w:r w:rsidR="00241818">
        <w:t xml:space="preserve"> </w:t>
      </w:r>
      <w:r w:rsidR="003C0903" w:rsidRPr="00305F28">
        <w:t xml:space="preserve">тис. грн, або </w:t>
      </w:r>
      <w:r w:rsidR="00E45A36">
        <w:t xml:space="preserve">95,11 % </w:t>
      </w:r>
      <w:r w:rsidRPr="00305F28">
        <w:t>до плану на</w:t>
      </w:r>
      <w:r w:rsidRPr="00305F28">
        <w:rPr>
          <w:szCs w:val="28"/>
        </w:rPr>
        <w:t xml:space="preserve"> відповідний період</w:t>
      </w:r>
      <w:r w:rsidR="003C0903" w:rsidRPr="00305F28">
        <w:t xml:space="preserve"> 2021</w:t>
      </w:r>
      <w:r w:rsidRPr="00305F28">
        <w:t xml:space="preserve"> року (затверджений план на </w:t>
      </w:r>
      <w:r w:rsidR="00E45A36">
        <w:rPr>
          <w:szCs w:val="28"/>
        </w:rPr>
        <w:t xml:space="preserve">січень – червень </w:t>
      </w:r>
      <w:r w:rsidR="003C0903" w:rsidRPr="00305F28">
        <w:rPr>
          <w:szCs w:val="28"/>
        </w:rPr>
        <w:t>2021</w:t>
      </w:r>
      <w:r w:rsidRPr="00305F28">
        <w:rPr>
          <w:szCs w:val="28"/>
        </w:rPr>
        <w:t xml:space="preserve"> року</w:t>
      </w:r>
      <w:r w:rsidR="00E45A36">
        <w:t xml:space="preserve"> – 18 289,30 </w:t>
      </w:r>
      <w:r w:rsidRPr="00305F28">
        <w:t>ти</w:t>
      </w:r>
      <w:r w:rsidR="003C0903" w:rsidRPr="00305F28">
        <w:t>с. грн</w:t>
      </w:r>
      <w:r w:rsidRPr="00305F28">
        <w:t xml:space="preserve">). </w:t>
      </w:r>
      <w:r w:rsidRPr="0045587F">
        <w:rPr>
          <w:bCs/>
          <w:iCs/>
        </w:rPr>
        <w:t>Слід відмітити</w:t>
      </w:r>
      <w:r w:rsidRPr="00305F28">
        <w:rPr>
          <w:bCs/>
          <w:iCs/>
        </w:rPr>
        <w:t xml:space="preserve">, що питома вага вищеназваного податку в надходженнях податків і зборів </w:t>
      </w:r>
      <w:r w:rsidRPr="00305F28">
        <w:rPr>
          <w:szCs w:val="28"/>
        </w:rPr>
        <w:t>січня -</w:t>
      </w:r>
      <w:r w:rsidR="00F61D99">
        <w:rPr>
          <w:szCs w:val="28"/>
        </w:rPr>
        <w:t xml:space="preserve"> червня</w:t>
      </w:r>
      <w:r w:rsidR="003C0903" w:rsidRPr="00305F28">
        <w:rPr>
          <w:szCs w:val="28"/>
        </w:rPr>
        <w:t xml:space="preserve"> 2021</w:t>
      </w:r>
      <w:r w:rsidRPr="00305F28">
        <w:rPr>
          <w:szCs w:val="28"/>
        </w:rPr>
        <w:t xml:space="preserve"> року</w:t>
      </w:r>
      <w:r w:rsidRPr="00305F28">
        <w:rPr>
          <w:bCs/>
          <w:iCs/>
        </w:rPr>
        <w:t xml:space="preserve"> загального фонду </w:t>
      </w:r>
      <w:r w:rsidR="009361D0" w:rsidRPr="00305F28">
        <w:rPr>
          <w:bCs/>
          <w:iCs/>
        </w:rPr>
        <w:t>міського</w:t>
      </w:r>
      <w:r w:rsidRPr="00305F28">
        <w:rPr>
          <w:bCs/>
          <w:iCs/>
        </w:rPr>
        <w:t xml:space="preserve"> бюджету складає </w:t>
      </w:r>
      <w:r w:rsidR="0045587F">
        <w:rPr>
          <w:bCs/>
          <w:iCs/>
        </w:rPr>
        <w:t>57,79 %</w:t>
      </w:r>
      <w:r w:rsidRPr="00305F28">
        <w:rPr>
          <w:bCs/>
          <w:iCs/>
        </w:rPr>
        <w:t xml:space="preserve">. </w:t>
      </w:r>
      <w:r w:rsidR="00FD7786" w:rsidRPr="00305F28">
        <w:rPr>
          <w:bCs/>
          <w:iCs/>
        </w:rPr>
        <w:t xml:space="preserve">Одними з найбільших платників </w:t>
      </w:r>
      <w:r w:rsidR="00915951" w:rsidRPr="00305F28">
        <w:rPr>
          <w:bCs/>
          <w:iCs/>
        </w:rPr>
        <w:t xml:space="preserve">даного </w:t>
      </w:r>
      <w:r w:rsidR="00FD7786" w:rsidRPr="00305F28">
        <w:rPr>
          <w:bCs/>
          <w:iCs/>
        </w:rPr>
        <w:t xml:space="preserve">податку </w:t>
      </w:r>
      <w:r w:rsidR="00915951" w:rsidRPr="00305F28">
        <w:rPr>
          <w:bCs/>
          <w:iCs/>
        </w:rPr>
        <w:t xml:space="preserve">є відділ освіти, культури, молоді та спорту, </w:t>
      </w:r>
      <w:r w:rsidR="008D0634">
        <w:rPr>
          <w:bCs/>
          <w:iCs/>
        </w:rPr>
        <w:t>ДП «</w:t>
      </w:r>
      <w:proofErr w:type="spellStart"/>
      <w:r w:rsidR="008D0634">
        <w:rPr>
          <w:bCs/>
          <w:iCs/>
        </w:rPr>
        <w:t>Великобичківське</w:t>
      </w:r>
      <w:proofErr w:type="spellEnd"/>
      <w:r w:rsidR="008D0634">
        <w:rPr>
          <w:bCs/>
          <w:iCs/>
        </w:rPr>
        <w:t xml:space="preserve"> ЛМГ»</w:t>
      </w:r>
      <w:r w:rsidR="00915951" w:rsidRPr="00305F28">
        <w:rPr>
          <w:bCs/>
          <w:iCs/>
        </w:rPr>
        <w:t xml:space="preserve">,  </w:t>
      </w:r>
      <w:r w:rsidR="005028D0">
        <w:rPr>
          <w:bCs/>
          <w:iCs/>
        </w:rPr>
        <w:t>ТОВ «</w:t>
      </w:r>
      <w:proofErr w:type="spellStart"/>
      <w:r w:rsidR="005028D0">
        <w:rPr>
          <w:bCs/>
          <w:iCs/>
        </w:rPr>
        <w:t>Бе</w:t>
      </w:r>
      <w:r w:rsidR="008D0634">
        <w:rPr>
          <w:bCs/>
          <w:iCs/>
        </w:rPr>
        <w:t>лівер</w:t>
      </w:r>
      <w:proofErr w:type="spellEnd"/>
      <w:r w:rsidR="008D0634">
        <w:rPr>
          <w:bCs/>
          <w:iCs/>
        </w:rPr>
        <w:t>»</w:t>
      </w:r>
      <w:r w:rsidR="00915951" w:rsidRPr="00305F28">
        <w:rPr>
          <w:bCs/>
          <w:iCs/>
        </w:rPr>
        <w:t xml:space="preserve">”, </w:t>
      </w:r>
      <w:r w:rsidR="008D0634">
        <w:rPr>
          <w:bCs/>
          <w:iCs/>
        </w:rPr>
        <w:t>ТОВ «ВГСМ»</w:t>
      </w:r>
      <w:r w:rsidR="00915951" w:rsidRPr="00305F28">
        <w:rPr>
          <w:bCs/>
          <w:iCs/>
        </w:rPr>
        <w:t>, Ка</w:t>
      </w:r>
      <w:r w:rsidR="005876B7" w:rsidRPr="00305F28">
        <w:rPr>
          <w:bCs/>
          <w:iCs/>
        </w:rPr>
        <w:t>рпатський біосферний заповідник</w:t>
      </w:r>
      <w:r w:rsidR="00915951" w:rsidRPr="00305F28">
        <w:rPr>
          <w:bCs/>
          <w:iCs/>
        </w:rPr>
        <w:t xml:space="preserve"> та інші. </w:t>
      </w:r>
    </w:p>
    <w:p w:rsidR="009968C2" w:rsidRPr="00305F28" w:rsidRDefault="009968C2">
      <w:pPr>
        <w:pStyle w:val="a6"/>
        <w:ind w:firstLine="0"/>
        <w:rPr>
          <w:szCs w:val="28"/>
        </w:rPr>
      </w:pPr>
    </w:p>
    <w:p w:rsidR="009968C2" w:rsidRPr="00305F28" w:rsidRDefault="009968C2">
      <w:pPr>
        <w:pStyle w:val="a4"/>
        <w:ind w:firstLine="720"/>
        <w:rPr>
          <w:szCs w:val="28"/>
        </w:rPr>
      </w:pPr>
    </w:p>
    <w:p w:rsidR="009968C2" w:rsidRPr="00305F28" w:rsidRDefault="009968C2">
      <w:pPr>
        <w:pStyle w:val="a4"/>
        <w:ind w:firstLine="720"/>
        <w:rPr>
          <w:szCs w:val="28"/>
        </w:rPr>
      </w:pPr>
      <w:r w:rsidRPr="00305F28">
        <w:rPr>
          <w:szCs w:val="28"/>
        </w:rPr>
        <w:t>Фактичні на</w:t>
      </w:r>
      <w:r w:rsidR="0046120E">
        <w:rPr>
          <w:szCs w:val="28"/>
        </w:rPr>
        <w:t>дходження за перше півріччя</w:t>
      </w:r>
      <w:r w:rsidR="00327BB1" w:rsidRPr="00305F28">
        <w:rPr>
          <w:szCs w:val="28"/>
        </w:rPr>
        <w:t xml:space="preserve"> 2021</w:t>
      </w:r>
      <w:r w:rsidRPr="00305F28">
        <w:rPr>
          <w:szCs w:val="28"/>
        </w:rPr>
        <w:t xml:space="preserve"> року  відрахування рентної плати за спеціальне використання лісових ресурсів в частині деревини, заготовленої в порядку рубок головного користування до </w:t>
      </w:r>
      <w:r w:rsidR="00327BB1" w:rsidRPr="00305F28">
        <w:rPr>
          <w:szCs w:val="28"/>
        </w:rPr>
        <w:t>місцевого</w:t>
      </w:r>
      <w:r w:rsidRPr="00305F28">
        <w:rPr>
          <w:szCs w:val="28"/>
        </w:rPr>
        <w:t xml:space="preserve"> бюджету надійшло у сумі </w:t>
      </w:r>
      <w:r w:rsidR="0046120E">
        <w:rPr>
          <w:szCs w:val="28"/>
        </w:rPr>
        <w:t>850,80</w:t>
      </w:r>
      <w:r w:rsidR="00763CE3" w:rsidRPr="00305F28">
        <w:rPr>
          <w:szCs w:val="28"/>
        </w:rPr>
        <w:t xml:space="preserve"> тис. грн</w:t>
      </w:r>
      <w:r w:rsidRPr="00305F28">
        <w:rPr>
          <w:szCs w:val="28"/>
        </w:rPr>
        <w:t>.</w:t>
      </w:r>
    </w:p>
    <w:p w:rsidR="00763CE3" w:rsidRPr="00305F28" w:rsidRDefault="00763CE3">
      <w:pPr>
        <w:pStyle w:val="a4"/>
        <w:ind w:firstLine="720"/>
        <w:rPr>
          <w:szCs w:val="28"/>
        </w:rPr>
      </w:pPr>
    </w:p>
    <w:p w:rsidR="00763CE3" w:rsidRPr="00305F28" w:rsidRDefault="00763CE3">
      <w:pPr>
        <w:pStyle w:val="a4"/>
        <w:ind w:firstLine="720"/>
        <w:rPr>
          <w:b/>
          <w:szCs w:val="28"/>
        </w:rPr>
      </w:pPr>
      <w:r w:rsidRPr="00305F28">
        <w:rPr>
          <w:szCs w:val="28"/>
        </w:rPr>
        <w:t xml:space="preserve">Надходження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до місцевого бюджету надійшло </w:t>
      </w:r>
      <w:r w:rsidR="0046120E">
        <w:rPr>
          <w:szCs w:val="28"/>
        </w:rPr>
        <w:t>2 665,5</w:t>
      </w:r>
      <w:r w:rsidR="00867AB2" w:rsidRPr="00305F28">
        <w:rPr>
          <w:szCs w:val="28"/>
        </w:rPr>
        <w:t xml:space="preserve"> тис. грн.</w:t>
      </w:r>
    </w:p>
    <w:p w:rsidR="009968C2" w:rsidRPr="00305F28" w:rsidRDefault="009968C2">
      <w:pPr>
        <w:pStyle w:val="a6"/>
        <w:rPr>
          <w:b/>
          <w:szCs w:val="28"/>
        </w:rPr>
      </w:pPr>
    </w:p>
    <w:p w:rsidR="005A75AB" w:rsidRPr="00305F28" w:rsidRDefault="005876B7">
      <w:pPr>
        <w:pStyle w:val="a6"/>
        <w:rPr>
          <w:szCs w:val="28"/>
        </w:rPr>
      </w:pPr>
      <w:r w:rsidRPr="00305F28">
        <w:rPr>
          <w:szCs w:val="28"/>
        </w:rPr>
        <w:t>Акцизного подат</w:t>
      </w:r>
      <w:r w:rsidR="004431F2" w:rsidRPr="00305F28">
        <w:rPr>
          <w:szCs w:val="28"/>
        </w:rPr>
        <w:t>к</w:t>
      </w:r>
      <w:r w:rsidRPr="00305F28">
        <w:rPr>
          <w:szCs w:val="28"/>
        </w:rPr>
        <w:t>у</w:t>
      </w:r>
      <w:r w:rsidR="004431F2" w:rsidRPr="00305F28">
        <w:rPr>
          <w:szCs w:val="28"/>
        </w:rPr>
        <w:t xml:space="preserve"> з вироблених в Україні пального </w:t>
      </w:r>
      <w:r w:rsidR="0046120E">
        <w:rPr>
          <w:szCs w:val="28"/>
        </w:rPr>
        <w:t xml:space="preserve">за перший квартал надійшло 226,81 </w:t>
      </w:r>
      <w:r w:rsidR="004431F2" w:rsidRPr="00305F28">
        <w:rPr>
          <w:szCs w:val="28"/>
        </w:rPr>
        <w:t>тис. грн</w:t>
      </w:r>
      <w:r w:rsidR="008D0634">
        <w:rPr>
          <w:szCs w:val="28"/>
        </w:rPr>
        <w:t>.;</w:t>
      </w:r>
      <w:r w:rsidR="004431F2" w:rsidRPr="00305F28">
        <w:rPr>
          <w:szCs w:val="28"/>
        </w:rPr>
        <w:t xml:space="preserve"> </w:t>
      </w:r>
      <w:r w:rsidRPr="00305F28">
        <w:rPr>
          <w:szCs w:val="28"/>
        </w:rPr>
        <w:t>а</w:t>
      </w:r>
      <w:r w:rsidR="004431F2" w:rsidRPr="00305F28">
        <w:rPr>
          <w:szCs w:val="28"/>
        </w:rPr>
        <w:t xml:space="preserve">кцизного податку з ввезення на митну територію України пального надійшло </w:t>
      </w:r>
      <w:r w:rsidR="0046120E">
        <w:rPr>
          <w:szCs w:val="28"/>
        </w:rPr>
        <w:t>770,30</w:t>
      </w:r>
      <w:r w:rsidR="004431F2" w:rsidRPr="00305F28">
        <w:rPr>
          <w:szCs w:val="28"/>
        </w:rPr>
        <w:t xml:space="preserve"> тис. грн</w:t>
      </w:r>
      <w:r w:rsidR="001A5C9F" w:rsidRPr="00305F28">
        <w:rPr>
          <w:szCs w:val="28"/>
        </w:rPr>
        <w:t>.</w:t>
      </w:r>
    </w:p>
    <w:p w:rsidR="001A5C9F" w:rsidRPr="00305F28" w:rsidRDefault="001A5C9F">
      <w:pPr>
        <w:pStyle w:val="a6"/>
        <w:rPr>
          <w:szCs w:val="28"/>
        </w:rPr>
      </w:pPr>
    </w:p>
    <w:p w:rsidR="001A5C9F" w:rsidRPr="00305F28" w:rsidRDefault="001A5C9F">
      <w:pPr>
        <w:pStyle w:val="a6"/>
        <w:rPr>
          <w:szCs w:val="28"/>
        </w:rPr>
      </w:pPr>
      <w:r w:rsidRPr="00305F28">
        <w:rPr>
          <w:szCs w:val="28"/>
        </w:rPr>
        <w:t xml:space="preserve">Акцизний податок з реалізації суб’єктами господарювання роздрібної торгівлі підакцизних товарів надійшло в сумі </w:t>
      </w:r>
      <w:r w:rsidR="00977466">
        <w:rPr>
          <w:szCs w:val="28"/>
        </w:rPr>
        <w:t>454,80</w:t>
      </w:r>
      <w:r w:rsidRPr="00305F28">
        <w:rPr>
          <w:szCs w:val="28"/>
        </w:rPr>
        <w:t xml:space="preserve"> тис. грн, або </w:t>
      </w:r>
      <w:r w:rsidR="00977466">
        <w:rPr>
          <w:szCs w:val="28"/>
        </w:rPr>
        <w:t>121,60 %</w:t>
      </w:r>
      <w:r w:rsidRPr="00305F28">
        <w:rPr>
          <w:szCs w:val="28"/>
        </w:rPr>
        <w:t xml:space="preserve"> до плану на відповідний період.</w:t>
      </w:r>
      <w:r w:rsidR="009774CC">
        <w:rPr>
          <w:szCs w:val="28"/>
        </w:rPr>
        <w:t xml:space="preserve"> Найбільшим платнико</w:t>
      </w:r>
      <w:r w:rsidR="00977466">
        <w:rPr>
          <w:szCs w:val="28"/>
        </w:rPr>
        <w:t>м даного податку є ТОВ «БЕЛІВЕР</w:t>
      </w:r>
      <w:r w:rsidR="009774CC">
        <w:rPr>
          <w:szCs w:val="28"/>
        </w:rPr>
        <w:t>».</w:t>
      </w:r>
    </w:p>
    <w:p w:rsidR="001A5C9F" w:rsidRPr="00305F28" w:rsidRDefault="001A5C9F">
      <w:pPr>
        <w:pStyle w:val="a6"/>
        <w:rPr>
          <w:szCs w:val="28"/>
        </w:rPr>
      </w:pPr>
    </w:p>
    <w:p w:rsidR="001A5C9F" w:rsidRDefault="001A5C9F">
      <w:pPr>
        <w:pStyle w:val="a6"/>
        <w:rPr>
          <w:szCs w:val="28"/>
        </w:rPr>
      </w:pPr>
      <w:r w:rsidRPr="00305F28">
        <w:rPr>
          <w:szCs w:val="28"/>
        </w:rPr>
        <w:t xml:space="preserve">Надходження місцевих податків та зборів до бюджету </w:t>
      </w:r>
      <w:r w:rsidR="009774CC">
        <w:rPr>
          <w:szCs w:val="28"/>
        </w:rPr>
        <w:t>селищної</w:t>
      </w:r>
      <w:r w:rsidRPr="00305F28">
        <w:rPr>
          <w:szCs w:val="28"/>
        </w:rPr>
        <w:t xml:space="preserve"> територіальної громади становить </w:t>
      </w:r>
      <w:r w:rsidR="00241818">
        <w:rPr>
          <w:szCs w:val="28"/>
        </w:rPr>
        <w:t xml:space="preserve">7 739,70 </w:t>
      </w:r>
      <w:r w:rsidRPr="00305F28">
        <w:rPr>
          <w:szCs w:val="28"/>
        </w:rPr>
        <w:t xml:space="preserve">тис. грн, або </w:t>
      </w:r>
      <w:r w:rsidR="00241818">
        <w:rPr>
          <w:szCs w:val="28"/>
        </w:rPr>
        <w:t>111,99 %</w:t>
      </w:r>
      <w:r w:rsidRPr="00305F28">
        <w:rPr>
          <w:szCs w:val="28"/>
        </w:rPr>
        <w:t xml:space="preserve"> до плану на відповідний період (зат</w:t>
      </w:r>
      <w:r w:rsidR="00241818">
        <w:rPr>
          <w:szCs w:val="28"/>
        </w:rPr>
        <w:t>верджений план на перше півріччя</w:t>
      </w:r>
      <w:r w:rsidRPr="00305F28">
        <w:rPr>
          <w:szCs w:val="28"/>
        </w:rPr>
        <w:t xml:space="preserve"> 2021 року </w:t>
      </w:r>
      <w:r w:rsidR="00A64341" w:rsidRPr="00305F28">
        <w:rPr>
          <w:szCs w:val="28"/>
        </w:rPr>
        <w:t>у сумі</w:t>
      </w:r>
      <w:r w:rsidRPr="00305F28">
        <w:rPr>
          <w:szCs w:val="28"/>
        </w:rPr>
        <w:t xml:space="preserve"> </w:t>
      </w:r>
      <w:r w:rsidR="00241818">
        <w:rPr>
          <w:szCs w:val="28"/>
        </w:rPr>
        <w:t>6 911,00</w:t>
      </w:r>
      <w:r w:rsidRPr="00305F28">
        <w:rPr>
          <w:szCs w:val="28"/>
        </w:rPr>
        <w:t xml:space="preserve"> тис. грн).</w:t>
      </w:r>
    </w:p>
    <w:p w:rsidR="0089254C" w:rsidRPr="00305F28" w:rsidRDefault="0089254C" w:rsidP="0089254C">
      <w:pPr>
        <w:ind w:firstLine="720"/>
        <w:jc w:val="both"/>
        <w:rPr>
          <w:sz w:val="28"/>
          <w:szCs w:val="28"/>
        </w:rPr>
      </w:pPr>
      <w:r w:rsidRPr="00305F28">
        <w:rPr>
          <w:sz w:val="28"/>
          <w:szCs w:val="28"/>
        </w:rPr>
        <w:t>Єдиного податку з юридичних та ф</w:t>
      </w:r>
      <w:r>
        <w:rPr>
          <w:sz w:val="28"/>
          <w:szCs w:val="28"/>
        </w:rPr>
        <w:t>ізичних осіб станом на 01 липня</w:t>
      </w:r>
      <w:r w:rsidRPr="00305F28">
        <w:rPr>
          <w:sz w:val="28"/>
          <w:szCs w:val="28"/>
        </w:rPr>
        <w:t xml:space="preserve"> 2021 року надійшло </w:t>
      </w:r>
      <w:r>
        <w:rPr>
          <w:sz w:val="28"/>
          <w:szCs w:val="28"/>
        </w:rPr>
        <w:t>3 763,08</w:t>
      </w:r>
      <w:r w:rsidRPr="00305F28">
        <w:rPr>
          <w:sz w:val="28"/>
          <w:szCs w:val="28"/>
        </w:rPr>
        <w:t xml:space="preserve"> тис. грн, або </w:t>
      </w:r>
      <w:r>
        <w:rPr>
          <w:sz w:val="28"/>
          <w:szCs w:val="28"/>
        </w:rPr>
        <w:t xml:space="preserve">121,19 % </w:t>
      </w:r>
      <w:r w:rsidRPr="00305F28">
        <w:rPr>
          <w:sz w:val="28"/>
          <w:szCs w:val="28"/>
        </w:rPr>
        <w:t>до плану відповідного періоду</w:t>
      </w:r>
      <w:r>
        <w:rPr>
          <w:sz w:val="28"/>
          <w:szCs w:val="28"/>
        </w:rPr>
        <w:t xml:space="preserve"> (уточнений план становить 3 105,00 </w:t>
      </w:r>
      <w:r w:rsidRPr="00305F28">
        <w:rPr>
          <w:sz w:val="28"/>
          <w:szCs w:val="28"/>
        </w:rPr>
        <w:t xml:space="preserve">тис. грн). Найбільшими платниками єдиного податку з юридичних осіб є </w:t>
      </w:r>
      <w:r w:rsidRPr="00C14FF2">
        <w:rPr>
          <w:sz w:val="28"/>
          <w:szCs w:val="28"/>
        </w:rPr>
        <w:t xml:space="preserve">ТзОВ </w:t>
      </w:r>
      <w:r>
        <w:rPr>
          <w:sz w:val="28"/>
          <w:szCs w:val="28"/>
        </w:rPr>
        <w:t>«</w:t>
      </w:r>
      <w:proofErr w:type="spellStart"/>
      <w:r w:rsidRPr="00C14FF2">
        <w:rPr>
          <w:sz w:val="28"/>
          <w:szCs w:val="28"/>
        </w:rPr>
        <w:t>Екобат</w:t>
      </w:r>
      <w:proofErr w:type="spellEnd"/>
      <w:r w:rsidRPr="00C14FF2">
        <w:rPr>
          <w:sz w:val="28"/>
          <w:szCs w:val="28"/>
        </w:rPr>
        <w:t xml:space="preserve"> </w:t>
      </w:r>
      <w:proofErr w:type="spellStart"/>
      <w:r w:rsidRPr="00C14FF2">
        <w:rPr>
          <w:sz w:val="28"/>
          <w:szCs w:val="28"/>
        </w:rPr>
        <w:t>Шураві</w:t>
      </w:r>
      <w:proofErr w:type="spellEnd"/>
      <w:r>
        <w:rPr>
          <w:sz w:val="28"/>
          <w:szCs w:val="28"/>
        </w:rPr>
        <w:t xml:space="preserve">», </w:t>
      </w:r>
      <w:proofErr w:type="spellStart"/>
      <w:r w:rsidRPr="00C14FF2">
        <w:rPr>
          <w:sz w:val="28"/>
          <w:szCs w:val="28"/>
        </w:rPr>
        <w:t>Великобичківське</w:t>
      </w:r>
      <w:proofErr w:type="spellEnd"/>
      <w:r w:rsidRPr="00C14FF2">
        <w:rPr>
          <w:sz w:val="28"/>
          <w:szCs w:val="28"/>
        </w:rPr>
        <w:t xml:space="preserve"> споживче товариство</w:t>
      </w:r>
      <w:r>
        <w:rPr>
          <w:sz w:val="28"/>
          <w:szCs w:val="28"/>
        </w:rPr>
        <w:t xml:space="preserve">, </w:t>
      </w:r>
      <w:r w:rsidRPr="00C14FF2">
        <w:rPr>
          <w:sz w:val="28"/>
          <w:szCs w:val="28"/>
        </w:rPr>
        <w:t xml:space="preserve">ТзОВ </w:t>
      </w:r>
      <w:r>
        <w:rPr>
          <w:sz w:val="28"/>
          <w:szCs w:val="28"/>
        </w:rPr>
        <w:t>«</w:t>
      </w:r>
      <w:r w:rsidRPr="00C14FF2">
        <w:rPr>
          <w:sz w:val="28"/>
          <w:szCs w:val="28"/>
        </w:rPr>
        <w:t>ВЕЛИКОБИЧКІВСЬКИЙ ХЛІБОКОМБІНАТ</w:t>
      </w:r>
      <w:r>
        <w:rPr>
          <w:sz w:val="28"/>
          <w:szCs w:val="28"/>
        </w:rPr>
        <w:t>»</w:t>
      </w:r>
      <w:r w:rsidRPr="00305F28">
        <w:rPr>
          <w:sz w:val="28"/>
          <w:szCs w:val="28"/>
        </w:rPr>
        <w:t xml:space="preserve"> та інші. </w:t>
      </w:r>
    </w:p>
    <w:p w:rsidR="0089254C" w:rsidRPr="00305F28" w:rsidRDefault="0089254C" w:rsidP="0089254C">
      <w:pPr>
        <w:ind w:firstLine="720"/>
        <w:jc w:val="both"/>
        <w:rPr>
          <w:sz w:val="28"/>
          <w:szCs w:val="28"/>
        </w:rPr>
      </w:pPr>
    </w:p>
    <w:p w:rsidR="0089254C" w:rsidRPr="00305F28" w:rsidRDefault="0089254C" w:rsidP="0089254C">
      <w:pPr>
        <w:pStyle w:val="a4"/>
        <w:ind w:firstLine="720"/>
        <w:rPr>
          <w:szCs w:val="28"/>
          <w:shd w:val="clear" w:color="auto" w:fill="FFFF00"/>
        </w:rPr>
      </w:pPr>
      <w:r>
        <w:rPr>
          <w:szCs w:val="28"/>
        </w:rPr>
        <w:t>Неоподаткованих надходжень надійшло в сумі – 268,87 тис .грн,</w:t>
      </w:r>
      <w:r w:rsidRPr="007607C4">
        <w:rPr>
          <w:szCs w:val="28"/>
        </w:rPr>
        <w:t xml:space="preserve"> </w:t>
      </w:r>
      <w:r w:rsidRPr="00305F28">
        <w:rPr>
          <w:szCs w:val="28"/>
        </w:rPr>
        <w:t xml:space="preserve">або </w:t>
      </w:r>
      <w:r>
        <w:rPr>
          <w:szCs w:val="28"/>
        </w:rPr>
        <w:t xml:space="preserve">140,40% </w:t>
      </w:r>
      <w:r w:rsidRPr="007607C4">
        <w:rPr>
          <w:szCs w:val="28"/>
        </w:rPr>
        <w:t xml:space="preserve"> </w:t>
      </w:r>
      <w:r w:rsidRPr="00305F28">
        <w:rPr>
          <w:szCs w:val="28"/>
        </w:rPr>
        <w:t>до плану відповідного періоду</w:t>
      </w:r>
      <w:r>
        <w:rPr>
          <w:szCs w:val="28"/>
        </w:rPr>
        <w:t xml:space="preserve"> (уточнений план становить 191,5</w:t>
      </w:r>
      <w:r w:rsidRPr="00305F28">
        <w:rPr>
          <w:szCs w:val="28"/>
        </w:rPr>
        <w:t>тис. грн)</w:t>
      </w:r>
      <w:r>
        <w:rPr>
          <w:szCs w:val="28"/>
        </w:rPr>
        <w:t xml:space="preserve"> </w:t>
      </w:r>
    </w:p>
    <w:p w:rsidR="0089254C" w:rsidRPr="00305F28" w:rsidRDefault="0089254C">
      <w:pPr>
        <w:pStyle w:val="a6"/>
        <w:rPr>
          <w:szCs w:val="28"/>
        </w:rPr>
      </w:pPr>
    </w:p>
    <w:p w:rsidR="001A5C9F" w:rsidRPr="00305F28" w:rsidRDefault="005C2235" w:rsidP="004431F2">
      <w:pPr>
        <w:pStyle w:val="a6"/>
        <w:ind w:firstLine="0"/>
        <w:rPr>
          <w:noProof/>
          <w:szCs w:val="28"/>
          <w:lang w:eastAsia="uk-UA"/>
        </w:rPr>
      </w:pPr>
      <w:r w:rsidRPr="00305F28">
        <w:rPr>
          <w:noProof/>
          <w:szCs w:val="28"/>
          <w:lang w:eastAsia="uk-UA"/>
        </w:rPr>
        <w:lastRenderedPageBreak/>
        <w:drawing>
          <wp:inline distT="0" distB="0" distL="0" distR="0">
            <wp:extent cx="5982335" cy="3429000"/>
            <wp:effectExtent l="0" t="0" r="18415"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64FB" w:rsidRPr="00305F28" w:rsidRDefault="001A64FB">
      <w:pPr>
        <w:ind w:firstLine="720"/>
        <w:jc w:val="both"/>
        <w:rPr>
          <w:sz w:val="28"/>
          <w:szCs w:val="28"/>
        </w:rPr>
      </w:pPr>
    </w:p>
    <w:p w:rsidR="00682052" w:rsidRPr="00682052" w:rsidRDefault="00682052" w:rsidP="00682052">
      <w:pPr>
        <w:jc w:val="center"/>
        <w:rPr>
          <w:b/>
          <w:sz w:val="28"/>
        </w:rPr>
      </w:pPr>
      <w:r w:rsidRPr="00682052">
        <w:rPr>
          <w:b/>
          <w:sz w:val="28"/>
        </w:rPr>
        <w:t>Спеціальний фонд.</w:t>
      </w:r>
    </w:p>
    <w:p w:rsidR="00682052" w:rsidRPr="00682052" w:rsidRDefault="00682052" w:rsidP="00682052">
      <w:pPr>
        <w:ind w:firstLine="720"/>
        <w:jc w:val="both"/>
        <w:rPr>
          <w:sz w:val="28"/>
        </w:rPr>
      </w:pPr>
    </w:p>
    <w:p w:rsidR="007607C4" w:rsidRDefault="00682052" w:rsidP="007607C4">
      <w:pPr>
        <w:ind w:firstLine="720"/>
        <w:jc w:val="both"/>
        <w:rPr>
          <w:sz w:val="28"/>
        </w:rPr>
      </w:pPr>
      <w:r>
        <w:rPr>
          <w:sz w:val="28"/>
        </w:rPr>
        <w:t>П</w:t>
      </w:r>
      <w:r w:rsidRPr="00682052">
        <w:rPr>
          <w:sz w:val="28"/>
        </w:rPr>
        <w:t>лан надходження до спеціального фонду місцевого бюджету</w:t>
      </w:r>
      <w:r w:rsidR="005B0085">
        <w:rPr>
          <w:sz w:val="28"/>
        </w:rPr>
        <w:t xml:space="preserve"> на поточний рік станом на 01.07</w:t>
      </w:r>
      <w:r w:rsidR="005504D6">
        <w:rPr>
          <w:sz w:val="28"/>
        </w:rPr>
        <w:t>.2021 року  становить – 1340,27</w:t>
      </w:r>
      <w:r w:rsidRPr="00682052">
        <w:rPr>
          <w:sz w:val="28"/>
        </w:rPr>
        <w:t xml:space="preserve"> тис.</w:t>
      </w:r>
      <w:r w:rsidR="005504D6">
        <w:rPr>
          <w:sz w:val="28"/>
        </w:rPr>
        <w:t xml:space="preserve"> грн,  фактично надійшло  860,48</w:t>
      </w:r>
      <w:r w:rsidRPr="00682052">
        <w:rPr>
          <w:sz w:val="28"/>
        </w:rPr>
        <w:t> тис. грн</w:t>
      </w:r>
      <w:r w:rsidR="007607C4">
        <w:rPr>
          <w:sz w:val="28"/>
        </w:rPr>
        <w:t>., що становить 64,20% до плану.</w:t>
      </w:r>
    </w:p>
    <w:p w:rsidR="0089254C" w:rsidRDefault="0089254C" w:rsidP="007607C4">
      <w:pPr>
        <w:ind w:firstLine="720"/>
        <w:jc w:val="both"/>
        <w:rPr>
          <w:sz w:val="28"/>
        </w:rPr>
      </w:pPr>
    </w:p>
    <w:p w:rsidR="009968C2" w:rsidRPr="00305F28" w:rsidRDefault="007607C4">
      <w:pPr>
        <w:pStyle w:val="a4"/>
        <w:rPr>
          <w:szCs w:val="28"/>
          <w:shd w:val="clear" w:color="auto" w:fill="FFFF00"/>
        </w:rPr>
      </w:pPr>
      <w:r w:rsidRPr="00305F28">
        <w:rPr>
          <w:noProof/>
          <w:szCs w:val="28"/>
          <w:lang w:eastAsia="uk-UA"/>
        </w:rPr>
        <w:lastRenderedPageBreak/>
        <w:drawing>
          <wp:inline distT="0" distB="0" distL="0" distR="0" wp14:anchorId="35185856" wp14:editId="0201BBE7">
            <wp:extent cx="5982335" cy="3314700"/>
            <wp:effectExtent l="0" t="0" r="18415"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371A" w:rsidRPr="00305F28" w:rsidRDefault="00A4371A">
      <w:pPr>
        <w:jc w:val="center"/>
        <w:rPr>
          <w:b/>
          <w:sz w:val="32"/>
        </w:rPr>
      </w:pPr>
    </w:p>
    <w:p w:rsidR="0089254C" w:rsidRDefault="0089254C" w:rsidP="005E0CD4">
      <w:pPr>
        <w:jc w:val="center"/>
        <w:rPr>
          <w:b/>
          <w:sz w:val="32"/>
        </w:rPr>
      </w:pPr>
    </w:p>
    <w:p w:rsidR="0089254C" w:rsidRDefault="0089254C" w:rsidP="005E0CD4">
      <w:pPr>
        <w:jc w:val="center"/>
        <w:rPr>
          <w:b/>
          <w:sz w:val="32"/>
        </w:rPr>
      </w:pPr>
    </w:p>
    <w:p w:rsidR="0089254C" w:rsidRDefault="0089254C" w:rsidP="005E0CD4">
      <w:pPr>
        <w:jc w:val="center"/>
        <w:rPr>
          <w:b/>
          <w:sz w:val="32"/>
        </w:rPr>
      </w:pPr>
    </w:p>
    <w:p w:rsidR="005E0CD4" w:rsidRPr="00305F28" w:rsidRDefault="005E0CD4" w:rsidP="005E0CD4">
      <w:pPr>
        <w:jc w:val="center"/>
        <w:rPr>
          <w:b/>
          <w:sz w:val="28"/>
        </w:rPr>
      </w:pPr>
      <w:r w:rsidRPr="00305F28">
        <w:rPr>
          <w:b/>
          <w:sz w:val="32"/>
        </w:rPr>
        <w:t>ІІ.</w:t>
      </w:r>
      <w:r w:rsidR="00AF2F85">
        <w:rPr>
          <w:b/>
          <w:sz w:val="32"/>
        </w:rPr>
        <w:t xml:space="preserve"> </w:t>
      </w:r>
      <w:r w:rsidRPr="00305F28">
        <w:rPr>
          <w:b/>
          <w:sz w:val="32"/>
        </w:rPr>
        <w:t>Видатки:</w:t>
      </w:r>
    </w:p>
    <w:p w:rsidR="005E0CD4" w:rsidRPr="00305F28" w:rsidRDefault="005E0CD4" w:rsidP="005E0CD4">
      <w:pPr>
        <w:jc w:val="center"/>
        <w:rPr>
          <w:b/>
          <w:sz w:val="28"/>
        </w:rPr>
      </w:pPr>
    </w:p>
    <w:p w:rsidR="005E0CD4" w:rsidRPr="00305F28" w:rsidRDefault="005E0CD4" w:rsidP="005E0CD4">
      <w:pPr>
        <w:pStyle w:val="a6"/>
        <w:rPr>
          <w:b/>
        </w:rPr>
      </w:pPr>
      <w:r w:rsidRPr="00305F28">
        <w:t>Видаткова частина бюджету загального фонду за І</w:t>
      </w:r>
      <w:r w:rsidR="000A1536">
        <w:t xml:space="preserve"> </w:t>
      </w:r>
      <w:r w:rsidR="00AF2F85">
        <w:t xml:space="preserve">півріччя </w:t>
      </w:r>
      <w:r w:rsidRPr="00305F28">
        <w:t xml:space="preserve">2021 року становить </w:t>
      </w:r>
      <w:r w:rsidR="000A1536">
        <w:t>127 430,6</w:t>
      </w:r>
      <w:r w:rsidRPr="00305F28">
        <w:t xml:space="preserve"> тис.</w:t>
      </w:r>
      <w:r w:rsidR="000A1536">
        <w:t xml:space="preserve"> грн., або 87,40</w:t>
      </w:r>
      <w:r w:rsidRPr="00305F28">
        <w:t xml:space="preserve"> відсотків до уточне</w:t>
      </w:r>
      <w:r>
        <w:t xml:space="preserve">ного </w:t>
      </w:r>
      <w:r w:rsidR="000A1536">
        <w:t>планового показника на І півріччя</w:t>
      </w:r>
      <w:r>
        <w:t xml:space="preserve"> 2021 року </w:t>
      </w:r>
      <w:r w:rsidRPr="00305F28">
        <w:t xml:space="preserve">(уточнений план </w:t>
      </w:r>
      <w:r w:rsidR="000A1536">
        <w:t>– 145 794,6</w:t>
      </w:r>
      <w:r w:rsidRPr="00305F28">
        <w:t xml:space="preserve"> тис.</w:t>
      </w:r>
      <w:r>
        <w:t xml:space="preserve"> </w:t>
      </w:r>
      <w:r w:rsidRPr="00305F28">
        <w:t xml:space="preserve">грн.). </w:t>
      </w:r>
    </w:p>
    <w:p w:rsidR="005E0CD4" w:rsidRPr="00305F28" w:rsidRDefault="005E0CD4" w:rsidP="005E0CD4">
      <w:pPr>
        <w:pStyle w:val="a6"/>
        <w:jc w:val="center"/>
        <w:rPr>
          <w:b/>
        </w:rPr>
      </w:pPr>
    </w:p>
    <w:p w:rsidR="005E0CD4" w:rsidRPr="00305F28" w:rsidRDefault="005E0CD4" w:rsidP="005E0CD4">
      <w:pPr>
        <w:pStyle w:val="a6"/>
        <w:ind w:firstLine="0"/>
        <w:jc w:val="center"/>
        <w:rPr>
          <w:b/>
        </w:rPr>
      </w:pPr>
      <w:r w:rsidRPr="00305F28">
        <w:rPr>
          <w:b/>
        </w:rPr>
        <w:t>Державне управління</w:t>
      </w:r>
    </w:p>
    <w:p w:rsidR="005E0CD4" w:rsidRPr="00305F28" w:rsidRDefault="005E0CD4" w:rsidP="005E0CD4">
      <w:pPr>
        <w:pStyle w:val="a6"/>
        <w:jc w:val="center"/>
        <w:rPr>
          <w:b/>
        </w:rPr>
      </w:pPr>
    </w:p>
    <w:p w:rsidR="00C7794E" w:rsidRDefault="005E0CD4" w:rsidP="00C7794E">
      <w:pPr>
        <w:pStyle w:val="a6"/>
      </w:pPr>
      <w:r w:rsidRPr="00ED5BE4">
        <w:t xml:space="preserve">Видатки на утримання </w:t>
      </w:r>
      <w:r w:rsidR="005A033E">
        <w:t xml:space="preserve"> державного управління </w:t>
      </w:r>
      <w:r w:rsidRPr="00ED5BE4">
        <w:t>с</w:t>
      </w:r>
      <w:r w:rsidR="000A1536">
        <w:t>елищної ради</w:t>
      </w:r>
      <w:r w:rsidR="005A033E">
        <w:t xml:space="preserve"> Великобичківської територіальної громади складають – 8 036,7</w:t>
      </w:r>
      <w:r w:rsidRPr="00ED5BE4">
        <w:t xml:space="preserve"> тис. гр</w:t>
      </w:r>
      <w:r w:rsidR="005A033E">
        <w:t>н. (при уточненому плані 9 572,1</w:t>
      </w:r>
      <w:r w:rsidR="00D55E9D">
        <w:t xml:space="preserve"> тис. грн.), що становить 84,0</w:t>
      </w:r>
      <w:r w:rsidRPr="00ED5BE4">
        <w:t xml:space="preserve"> відсот</w:t>
      </w:r>
      <w:r w:rsidR="00C7794E">
        <w:t xml:space="preserve">ка.  </w:t>
      </w:r>
    </w:p>
    <w:p w:rsidR="00C7794E" w:rsidRPr="00305F28" w:rsidRDefault="00C7794E" w:rsidP="00C7794E">
      <w:pPr>
        <w:pStyle w:val="a6"/>
      </w:pPr>
      <w:r w:rsidRPr="00305F28">
        <w:t>Із загаль</w:t>
      </w:r>
      <w:r>
        <w:t xml:space="preserve">них видатків </w:t>
      </w:r>
      <w:r w:rsidRPr="00305F28">
        <w:t xml:space="preserve"> найбільшу питому вагу становлять видатки на заробітну плату та нарахування в сумі </w:t>
      </w:r>
      <w:r>
        <w:t>7 635,8</w:t>
      </w:r>
      <w:r w:rsidRPr="00305F28">
        <w:t xml:space="preserve"> тис.</w:t>
      </w:r>
      <w:r>
        <w:t xml:space="preserve"> </w:t>
      </w:r>
      <w:r w:rsidRPr="00305F28">
        <w:t>грн.</w:t>
      </w:r>
      <w:r>
        <w:t xml:space="preserve">, або 95,0 відсотка до загальних видатків,  на утримання державного управління селищної ради Великобичківської територіальної громади, </w:t>
      </w:r>
      <w:r w:rsidRPr="00DE6DCC">
        <w:rPr>
          <w:szCs w:val="28"/>
        </w:rPr>
        <w:t xml:space="preserve">на </w:t>
      </w:r>
      <w:r>
        <w:rPr>
          <w:szCs w:val="28"/>
        </w:rPr>
        <w:t>використання товарів і послуг</w:t>
      </w:r>
      <w:r w:rsidRPr="00DE6DCC">
        <w:rPr>
          <w:szCs w:val="28"/>
        </w:rPr>
        <w:t xml:space="preserve"> використано</w:t>
      </w:r>
      <w:r w:rsidR="006E3122">
        <w:rPr>
          <w:szCs w:val="28"/>
        </w:rPr>
        <w:t xml:space="preserve"> – 313,1</w:t>
      </w:r>
      <w:r w:rsidRPr="00ED5BE4">
        <w:t xml:space="preserve"> </w:t>
      </w:r>
      <w:r w:rsidRPr="00305F28">
        <w:t>тис.</w:t>
      </w:r>
      <w:r>
        <w:t xml:space="preserve"> грн., </w:t>
      </w:r>
      <w:r w:rsidRPr="00305F28">
        <w:t xml:space="preserve">та видатки на оплату комунальних послуг та енергоносіїв в сумі </w:t>
      </w:r>
      <w:r w:rsidR="006E3122">
        <w:t xml:space="preserve">87,8 </w:t>
      </w:r>
      <w:r w:rsidRPr="00305F28">
        <w:t>тис.</w:t>
      </w:r>
      <w:r>
        <w:t xml:space="preserve"> </w:t>
      </w:r>
      <w:r w:rsidRPr="00305F28">
        <w:t>грн..</w:t>
      </w:r>
    </w:p>
    <w:p w:rsidR="005E0CD4" w:rsidRPr="00305F28" w:rsidRDefault="005E0CD4" w:rsidP="006E3122">
      <w:pPr>
        <w:pStyle w:val="a6"/>
        <w:tabs>
          <w:tab w:val="left" w:pos="450"/>
          <w:tab w:val="left" w:pos="600"/>
          <w:tab w:val="center" w:pos="4819"/>
        </w:tabs>
        <w:ind w:firstLine="0"/>
        <w:jc w:val="center"/>
      </w:pPr>
      <w:r w:rsidRPr="00305F28">
        <w:rPr>
          <w:b/>
        </w:rPr>
        <w:t>Освіта</w:t>
      </w:r>
    </w:p>
    <w:p w:rsidR="005E0CD4" w:rsidRPr="00305F28" w:rsidRDefault="005E0CD4" w:rsidP="005E0CD4">
      <w:pPr>
        <w:ind w:firstLine="720"/>
        <w:jc w:val="both"/>
        <w:rPr>
          <w:sz w:val="28"/>
        </w:rPr>
      </w:pPr>
    </w:p>
    <w:p w:rsidR="005E0CD4" w:rsidRPr="006E3122" w:rsidRDefault="005E0CD4" w:rsidP="005E0CD4">
      <w:pPr>
        <w:ind w:firstLine="720"/>
        <w:jc w:val="both"/>
        <w:rPr>
          <w:color w:val="FF0000"/>
          <w:sz w:val="28"/>
        </w:rPr>
      </w:pPr>
      <w:r w:rsidRPr="00305F28">
        <w:rPr>
          <w:sz w:val="28"/>
        </w:rPr>
        <w:t xml:space="preserve">За рахунок коштів передбачених в </w:t>
      </w:r>
      <w:r>
        <w:rPr>
          <w:sz w:val="28"/>
        </w:rPr>
        <w:t xml:space="preserve">селищному </w:t>
      </w:r>
      <w:r w:rsidRPr="00305F28">
        <w:rPr>
          <w:sz w:val="28"/>
        </w:rPr>
        <w:t xml:space="preserve"> </w:t>
      </w:r>
      <w:r>
        <w:rPr>
          <w:sz w:val="28"/>
        </w:rPr>
        <w:t>бюджеті на освіту, утримуються 16</w:t>
      </w:r>
      <w:r w:rsidRPr="00305F28">
        <w:rPr>
          <w:sz w:val="28"/>
        </w:rPr>
        <w:t xml:space="preserve"> шкіл, з яких за рахунок коштів освітньої субвенції на заробітну плату з нарахуваннями педагогічних працівників </w:t>
      </w:r>
      <w:r w:rsidR="00C1432C">
        <w:rPr>
          <w:sz w:val="28"/>
        </w:rPr>
        <w:t>використано 72 862,</w:t>
      </w:r>
      <w:r w:rsidR="006E3122">
        <w:rPr>
          <w:sz w:val="28"/>
        </w:rPr>
        <w:t xml:space="preserve">5 </w:t>
      </w:r>
      <w:r w:rsidRPr="00305F28">
        <w:rPr>
          <w:sz w:val="28"/>
        </w:rPr>
        <w:t>тис.</w:t>
      </w:r>
      <w:r>
        <w:rPr>
          <w:sz w:val="28"/>
        </w:rPr>
        <w:t xml:space="preserve"> </w:t>
      </w:r>
      <w:r w:rsidRPr="00305F28">
        <w:rPr>
          <w:sz w:val="28"/>
        </w:rPr>
        <w:t xml:space="preserve">грн.. </w:t>
      </w:r>
      <w:r w:rsidR="00C7794E">
        <w:rPr>
          <w:sz w:val="28"/>
        </w:rPr>
        <w:t xml:space="preserve">              </w:t>
      </w:r>
      <w:r w:rsidRPr="00305F28">
        <w:rPr>
          <w:sz w:val="28"/>
        </w:rPr>
        <w:t xml:space="preserve">Крім того за рахунок коштів </w:t>
      </w:r>
      <w:r>
        <w:rPr>
          <w:sz w:val="28"/>
        </w:rPr>
        <w:t>селищного</w:t>
      </w:r>
      <w:r w:rsidRPr="00305F28">
        <w:rPr>
          <w:sz w:val="28"/>
        </w:rPr>
        <w:t xml:space="preserve"> бюджету, </w:t>
      </w:r>
      <w:r w:rsidR="00C664BD" w:rsidRPr="00305F28">
        <w:rPr>
          <w:sz w:val="28"/>
          <w:szCs w:val="28"/>
        </w:rPr>
        <w:t>субвенції</w:t>
      </w:r>
      <w:r w:rsidRPr="00305F28">
        <w:rPr>
          <w:sz w:val="28"/>
          <w:szCs w:val="28"/>
        </w:rPr>
        <w:t xml:space="preserve"> на надання державної підтримки особам з особливими освітніми потребами,</w:t>
      </w:r>
      <w:r>
        <w:rPr>
          <w:sz w:val="28"/>
          <w:szCs w:val="28"/>
        </w:rPr>
        <w:t xml:space="preserve"> </w:t>
      </w:r>
      <w:r w:rsidRPr="00305F28">
        <w:rPr>
          <w:sz w:val="28"/>
          <w:szCs w:val="28"/>
        </w:rPr>
        <w:t>субвенції на здійснення переданих видатків у сфері</w:t>
      </w:r>
      <w:r>
        <w:rPr>
          <w:sz w:val="28"/>
          <w:szCs w:val="28"/>
        </w:rPr>
        <w:t xml:space="preserve"> </w:t>
      </w:r>
      <w:r w:rsidRPr="00305F28">
        <w:rPr>
          <w:sz w:val="28"/>
          <w:szCs w:val="28"/>
        </w:rPr>
        <w:t xml:space="preserve">освіти на утримання працівників </w:t>
      </w:r>
      <w:proofErr w:type="spellStart"/>
      <w:r w:rsidRPr="00305F28">
        <w:rPr>
          <w:sz w:val="28"/>
          <w:szCs w:val="28"/>
        </w:rPr>
        <w:t>інклюзивно</w:t>
      </w:r>
      <w:proofErr w:type="spellEnd"/>
      <w:r w:rsidR="00C664BD">
        <w:rPr>
          <w:sz w:val="28"/>
          <w:szCs w:val="28"/>
        </w:rPr>
        <w:t xml:space="preserve"> </w:t>
      </w:r>
      <w:r w:rsidRPr="00305F28">
        <w:rPr>
          <w:sz w:val="28"/>
          <w:szCs w:val="28"/>
        </w:rPr>
        <w:t>-</w:t>
      </w:r>
      <w:r w:rsidR="00C664BD">
        <w:rPr>
          <w:sz w:val="28"/>
          <w:szCs w:val="28"/>
        </w:rPr>
        <w:t xml:space="preserve"> </w:t>
      </w:r>
      <w:r w:rsidRPr="00305F28">
        <w:rPr>
          <w:sz w:val="28"/>
          <w:szCs w:val="28"/>
        </w:rPr>
        <w:t>ресурсного центру та дотації з місцевого бюджету на здійснення переданих з державного бюджету видатків з утримання закладів освіти утримуються</w:t>
      </w:r>
      <w:r>
        <w:rPr>
          <w:sz w:val="28"/>
          <w:szCs w:val="28"/>
        </w:rPr>
        <w:t xml:space="preserve"> </w:t>
      </w:r>
      <w:r w:rsidRPr="00305F28">
        <w:rPr>
          <w:sz w:val="28"/>
          <w:szCs w:val="28"/>
        </w:rPr>
        <w:t>:</w:t>
      </w:r>
      <w:r w:rsidRPr="00305F28">
        <w:rPr>
          <w:sz w:val="28"/>
        </w:rPr>
        <w:t xml:space="preserve"> інші працівники, крім педагогічних по загальноосвітніх закладах, </w:t>
      </w:r>
      <w:r w:rsidRPr="00305F28">
        <w:rPr>
          <w:sz w:val="28"/>
        </w:rPr>
        <w:lastRenderedPageBreak/>
        <w:t>1 дитяча музична школа, інші установи (централізована бухга</w:t>
      </w:r>
      <w:r>
        <w:rPr>
          <w:sz w:val="28"/>
        </w:rPr>
        <w:t>лтерія,</w:t>
      </w:r>
      <w:r w:rsidR="00C7794E">
        <w:rPr>
          <w:sz w:val="28"/>
        </w:rPr>
        <w:t xml:space="preserve">                                 </w:t>
      </w:r>
      <w:r>
        <w:rPr>
          <w:sz w:val="28"/>
        </w:rPr>
        <w:t>14</w:t>
      </w:r>
      <w:r w:rsidRPr="00305F28">
        <w:rPr>
          <w:sz w:val="28"/>
        </w:rPr>
        <w:t xml:space="preserve"> дошкільних </w:t>
      </w:r>
      <w:r w:rsidR="00C7794E">
        <w:rPr>
          <w:sz w:val="28"/>
        </w:rPr>
        <w:t xml:space="preserve">навчальних </w:t>
      </w:r>
      <w:r w:rsidRPr="00305F28">
        <w:rPr>
          <w:sz w:val="28"/>
        </w:rPr>
        <w:t>закладі</w:t>
      </w:r>
      <w:r w:rsidR="00C7794E">
        <w:rPr>
          <w:sz w:val="28"/>
        </w:rPr>
        <w:t>в),</w:t>
      </w:r>
      <w:r w:rsidRPr="00305F28">
        <w:rPr>
          <w:sz w:val="28"/>
        </w:rPr>
        <w:t xml:space="preserve"> видатки на які по загальному фонду за звітній період с</w:t>
      </w:r>
      <w:r w:rsidR="00FC376A">
        <w:rPr>
          <w:sz w:val="28"/>
        </w:rPr>
        <w:t xml:space="preserve">тановлять 32 786,3 </w:t>
      </w:r>
      <w:r w:rsidRPr="00305F28">
        <w:rPr>
          <w:sz w:val="28"/>
        </w:rPr>
        <w:t xml:space="preserve"> тис.</w:t>
      </w:r>
      <w:r>
        <w:rPr>
          <w:sz w:val="28"/>
        </w:rPr>
        <w:t xml:space="preserve"> </w:t>
      </w:r>
      <w:r w:rsidRPr="00305F28">
        <w:rPr>
          <w:sz w:val="28"/>
        </w:rPr>
        <w:t xml:space="preserve">грн.. Із загальних видатків по галузі найбільшу питому вагу становлять видатки на заробітну плату та нарахування в </w:t>
      </w:r>
      <w:r w:rsidRPr="00FC376A">
        <w:rPr>
          <w:color w:val="000000" w:themeColor="text1"/>
          <w:sz w:val="28"/>
        </w:rPr>
        <w:t xml:space="preserve">сумі </w:t>
      </w:r>
      <w:r w:rsidR="00FC376A">
        <w:rPr>
          <w:color w:val="000000" w:themeColor="text1"/>
          <w:sz w:val="28"/>
        </w:rPr>
        <w:t>29 866,7</w:t>
      </w:r>
      <w:r w:rsidRPr="00FC376A">
        <w:rPr>
          <w:color w:val="000000" w:themeColor="text1"/>
          <w:sz w:val="28"/>
        </w:rPr>
        <w:t xml:space="preserve"> тис. грн., </w:t>
      </w:r>
      <w:r w:rsidRPr="00FC376A">
        <w:rPr>
          <w:color w:val="000000" w:themeColor="text1"/>
          <w:sz w:val="28"/>
          <w:szCs w:val="28"/>
        </w:rPr>
        <w:t>на використання това</w:t>
      </w:r>
      <w:r w:rsidR="005A452A">
        <w:rPr>
          <w:color w:val="000000" w:themeColor="text1"/>
          <w:sz w:val="28"/>
          <w:szCs w:val="28"/>
        </w:rPr>
        <w:t xml:space="preserve">рів і послуг використано – 550,4 </w:t>
      </w:r>
      <w:r w:rsidRPr="00FC376A">
        <w:rPr>
          <w:color w:val="000000" w:themeColor="text1"/>
          <w:sz w:val="28"/>
        </w:rPr>
        <w:t xml:space="preserve">тис. грн., </w:t>
      </w:r>
      <w:r w:rsidR="00FC376A">
        <w:rPr>
          <w:color w:val="000000" w:themeColor="text1"/>
          <w:sz w:val="28"/>
        </w:rPr>
        <w:t xml:space="preserve">продуктів харчування – 270,1 тис. грн </w:t>
      </w:r>
      <w:r w:rsidRPr="00FC376A">
        <w:rPr>
          <w:color w:val="000000" w:themeColor="text1"/>
          <w:sz w:val="28"/>
        </w:rPr>
        <w:t>та видатки на оплату комунальних посл</w:t>
      </w:r>
      <w:r w:rsidR="005A452A">
        <w:rPr>
          <w:color w:val="000000" w:themeColor="text1"/>
          <w:sz w:val="28"/>
        </w:rPr>
        <w:t xml:space="preserve">уг та енергоносіїв в сумі 2 099,1 </w:t>
      </w:r>
      <w:r w:rsidRPr="00FC376A">
        <w:rPr>
          <w:color w:val="000000" w:themeColor="text1"/>
          <w:sz w:val="28"/>
        </w:rPr>
        <w:t>тис. грн..</w:t>
      </w:r>
    </w:p>
    <w:p w:rsidR="005E0CD4" w:rsidRPr="00305F28" w:rsidRDefault="005E0CD4" w:rsidP="005E0CD4">
      <w:pPr>
        <w:ind w:firstLine="720"/>
        <w:jc w:val="both"/>
        <w:rPr>
          <w:sz w:val="28"/>
        </w:rPr>
      </w:pPr>
    </w:p>
    <w:p w:rsidR="005E0CD4" w:rsidRPr="00305F28" w:rsidRDefault="005E0CD4" w:rsidP="005E0CD4">
      <w:pPr>
        <w:pStyle w:val="4"/>
      </w:pPr>
      <w:r w:rsidRPr="00305F28">
        <w:t>Охорона здоров’я</w:t>
      </w:r>
    </w:p>
    <w:p w:rsidR="005E0CD4" w:rsidRPr="00305F28" w:rsidRDefault="005E0CD4" w:rsidP="005E0CD4">
      <w:pPr>
        <w:jc w:val="center"/>
        <w:rPr>
          <w:b/>
          <w:sz w:val="28"/>
        </w:rPr>
      </w:pPr>
    </w:p>
    <w:p w:rsidR="005E0CD4" w:rsidRPr="00305F28" w:rsidRDefault="005E0CD4" w:rsidP="005E0CD4">
      <w:pPr>
        <w:ind w:firstLine="720"/>
        <w:jc w:val="both"/>
        <w:rPr>
          <w:sz w:val="28"/>
        </w:rPr>
      </w:pPr>
      <w:r w:rsidRPr="00305F28">
        <w:rPr>
          <w:sz w:val="28"/>
        </w:rPr>
        <w:t>По галузі охорона здоров’я</w:t>
      </w:r>
      <w:r>
        <w:rPr>
          <w:sz w:val="28"/>
        </w:rPr>
        <w:t xml:space="preserve"> утримується  установа </w:t>
      </w:r>
      <w:r w:rsidRPr="00305F28">
        <w:rPr>
          <w:sz w:val="28"/>
        </w:rPr>
        <w:t>КНП «</w:t>
      </w:r>
      <w:proofErr w:type="spellStart"/>
      <w:r>
        <w:rPr>
          <w:sz w:val="28"/>
        </w:rPr>
        <w:t>Великобичківська</w:t>
      </w:r>
      <w:proofErr w:type="spellEnd"/>
      <w:r>
        <w:rPr>
          <w:sz w:val="28"/>
        </w:rPr>
        <w:t xml:space="preserve"> міська лікарня» </w:t>
      </w:r>
      <w:r w:rsidR="0023796B">
        <w:rPr>
          <w:sz w:val="28"/>
        </w:rPr>
        <w:t>та КНП «</w:t>
      </w:r>
      <w:proofErr w:type="spellStart"/>
      <w:r w:rsidR="0023796B">
        <w:rPr>
          <w:sz w:val="28"/>
        </w:rPr>
        <w:t>Великобичківське</w:t>
      </w:r>
      <w:proofErr w:type="spellEnd"/>
      <w:r w:rsidR="0023796B">
        <w:rPr>
          <w:sz w:val="28"/>
        </w:rPr>
        <w:t xml:space="preserve"> Ц</w:t>
      </w:r>
      <w:r w:rsidR="008C5B8D">
        <w:rPr>
          <w:sz w:val="28"/>
        </w:rPr>
        <w:t>П</w:t>
      </w:r>
      <w:r w:rsidR="0023796B">
        <w:rPr>
          <w:sz w:val="28"/>
        </w:rPr>
        <w:t xml:space="preserve">МСД»  </w:t>
      </w:r>
      <w:r>
        <w:rPr>
          <w:sz w:val="28"/>
        </w:rPr>
        <w:t xml:space="preserve">видатки </w:t>
      </w:r>
      <w:r w:rsidRPr="00305F28">
        <w:rPr>
          <w:sz w:val="28"/>
        </w:rPr>
        <w:t xml:space="preserve">по загальному фонду складають – </w:t>
      </w:r>
      <w:r w:rsidR="0023796B">
        <w:rPr>
          <w:sz w:val="28"/>
        </w:rPr>
        <w:t>674,0</w:t>
      </w:r>
      <w:r w:rsidRPr="00305F28">
        <w:rPr>
          <w:sz w:val="28"/>
        </w:rPr>
        <w:t xml:space="preserve"> тис.</w:t>
      </w:r>
      <w:r>
        <w:rPr>
          <w:sz w:val="28"/>
        </w:rPr>
        <w:t xml:space="preserve"> </w:t>
      </w:r>
      <w:r w:rsidR="0023796B">
        <w:rPr>
          <w:sz w:val="28"/>
        </w:rPr>
        <w:t>грн. на оплату заробітної плати з нарахуванням,</w:t>
      </w:r>
      <w:r w:rsidRPr="00305F28">
        <w:rPr>
          <w:sz w:val="28"/>
        </w:rPr>
        <w:t xml:space="preserve"> комунальних</w:t>
      </w:r>
      <w:r w:rsidR="00AE178F">
        <w:rPr>
          <w:sz w:val="28"/>
        </w:rPr>
        <w:t xml:space="preserve"> послуг та енергоносіїв.</w:t>
      </w:r>
    </w:p>
    <w:p w:rsidR="005E0CD4" w:rsidRDefault="005E0CD4" w:rsidP="005E0CD4">
      <w:pPr>
        <w:ind w:firstLine="720"/>
        <w:jc w:val="both"/>
        <w:rPr>
          <w:sz w:val="28"/>
        </w:rPr>
      </w:pPr>
      <w:r w:rsidRPr="00305F28">
        <w:rPr>
          <w:sz w:val="28"/>
        </w:rPr>
        <w:t>На централізовані заходи з лікування хворих на цукровий та н</w:t>
      </w:r>
      <w:r>
        <w:rPr>
          <w:sz w:val="28"/>
        </w:rPr>
        <w:t>ецукрови</w:t>
      </w:r>
      <w:r w:rsidR="0023796B">
        <w:rPr>
          <w:sz w:val="28"/>
        </w:rPr>
        <w:t xml:space="preserve">й діабет при плані на І півріччя </w:t>
      </w:r>
      <w:r w:rsidRPr="00305F28">
        <w:rPr>
          <w:sz w:val="28"/>
        </w:rPr>
        <w:t xml:space="preserve">2021 року </w:t>
      </w:r>
      <w:r w:rsidR="0023796B">
        <w:rPr>
          <w:sz w:val="28"/>
        </w:rPr>
        <w:t>663,1</w:t>
      </w:r>
      <w:r w:rsidRPr="00305F28">
        <w:rPr>
          <w:sz w:val="28"/>
        </w:rPr>
        <w:t xml:space="preserve"> тис.</w:t>
      </w:r>
      <w:r>
        <w:rPr>
          <w:sz w:val="28"/>
        </w:rPr>
        <w:t xml:space="preserve"> </w:t>
      </w:r>
      <w:r w:rsidRPr="00305F28">
        <w:rPr>
          <w:sz w:val="28"/>
        </w:rPr>
        <w:t xml:space="preserve">грн.,  використано – </w:t>
      </w:r>
      <w:r w:rsidR="0023796B">
        <w:rPr>
          <w:sz w:val="28"/>
        </w:rPr>
        <w:t xml:space="preserve">464,3 </w:t>
      </w:r>
      <w:r w:rsidRPr="00305F28">
        <w:rPr>
          <w:sz w:val="28"/>
        </w:rPr>
        <w:t>тис.</w:t>
      </w:r>
      <w:r>
        <w:rPr>
          <w:sz w:val="28"/>
        </w:rPr>
        <w:t xml:space="preserve"> </w:t>
      </w:r>
      <w:r w:rsidRPr="00305F28">
        <w:rPr>
          <w:sz w:val="28"/>
        </w:rPr>
        <w:t xml:space="preserve">грн., що становить </w:t>
      </w:r>
      <w:r w:rsidR="0023796B">
        <w:rPr>
          <w:sz w:val="28"/>
        </w:rPr>
        <w:t xml:space="preserve">70,0 </w:t>
      </w:r>
      <w:r w:rsidRPr="00305F28">
        <w:rPr>
          <w:sz w:val="28"/>
        </w:rPr>
        <w:t xml:space="preserve"> відсотка виконання.</w:t>
      </w:r>
    </w:p>
    <w:p w:rsidR="005E0CD4" w:rsidRPr="00305F28" w:rsidRDefault="005E0CD4" w:rsidP="005E0CD4">
      <w:pPr>
        <w:ind w:firstLine="720"/>
        <w:jc w:val="both"/>
        <w:rPr>
          <w:sz w:val="28"/>
        </w:rPr>
      </w:pPr>
      <w:r>
        <w:rPr>
          <w:sz w:val="28"/>
        </w:rPr>
        <w:t xml:space="preserve">На інші програми та заходи у сфері охорони здоров'я (забезпечення лікувальним харчуванням тяжкохворих та дітей, хворих на </w:t>
      </w:r>
      <w:proofErr w:type="spellStart"/>
      <w:r>
        <w:rPr>
          <w:sz w:val="28"/>
        </w:rPr>
        <w:t>фенілкетонурію</w:t>
      </w:r>
      <w:proofErr w:type="spellEnd"/>
      <w:r>
        <w:rPr>
          <w:sz w:val="28"/>
        </w:rPr>
        <w:t xml:space="preserve"> віком від 3 до</w:t>
      </w:r>
      <w:r w:rsidR="0023796B">
        <w:rPr>
          <w:sz w:val="28"/>
        </w:rPr>
        <w:t xml:space="preserve"> 18 років при плані на І півріччя </w:t>
      </w:r>
      <w:r w:rsidR="00FE5A23">
        <w:rPr>
          <w:sz w:val="28"/>
        </w:rPr>
        <w:t xml:space="preserve"> 2021 року 454,0 тис. грн., профінансовано - 435</w:t>
      </w:r>
      <w:r>
        <w:rPr>
          <w:sz w:val="28"/>
        </w:rPr>
        <w:t>,0 тис. грн.</w:t>
      </w:r>
    </w:p>
    <w:p w:rsidR="005E0CD4" w:rsidRPr="00305F28" w:rsidRDefault="005E0CD4" w:rsidP="005E0CD4">
      <w:pPr>
        <w:pStyle w:val="6"/>
        <w:numPr>
          <w:ilvl w:val="0"/>
          <w:numId w:val="0"/>
        </w:numPr>
        <w:jc w:val="left"/>
      </w:pPr>
    </w:p>
    <w:p w:rsidR="005E0CD4" w:rsidRPr="00305F28" w:rsidRDefault="005E0CD4" w:rsidP="005E0CD4">
      <w:pPr>
        <w:pStyle w:val="6"/>
      </w:pPr>
      <w:r w:rsidRPr="00305F28">
        <w:t>Культура</w:t>
      </w:r>
    </w:p>
    <w:p w:rsidR="005E0CD4" w:rsidRPr="00305F28" w:rsidRDefault="005E0CD4" w:rsidP="005E0CD4">
      <w:pPr>
        <w:ind w:firstLine="720"/>
        <w:jc w:val="center"/>
        <w:rPr>
          <w:b/>
          <w:sz w:val="28"/>
        </w:rPr>
      </w:pPr>
    </w:p>
    <w:p w:rsidR="005E0CD4" w:rsidRPr="00305F28" w:rsidRDefault="005E0CD4" w:rsidP="005E0CD4">
      <w:pPr>
        <w:pStyle w:val="a6"/>
      </w:pPr>
      <w:r w:rsidRPr="00305F28">
        <w:t xml:space="preserve">По установах та закладах культури за І </w:t>
      </w:r>
      <w:r w:rsidR="00FE5A23">
        <w:t>п</w:t>
      </w:r>
      <w:r w:rsidR="006B32BA">
        <w:t>і</w:t>
      </w:r>
      <w:r w:rsidR="00FE5A23">
        <w:t>вріччя</w:t>
      </w:r>
      <w:r w:rsidRPr="00305F28">
        <w:t xml:space="preserve"> 202</w:t>
      </w:r>
      <w:r w:rsidR="00AE178F">
        <w:t xml:space="preserve">1 року використано-   2 970,9 </w:t>
      </w:r>
      <w:r w:rsidRPr="00305F28">
        <w:t>тис.</w:t>
      </w:r>
      <w:r w:rsidR="00AE178F">
        <w:t xml:space="preserve"> грн., або 85,5</w:t>
      </w:r>
      <w:r w:rsidRPr="00305F28">
        <w:t xml:space="preserve"> відсотка до плану на</w:t>
      </w:r>
      <w:r w:rsidR="006B32BA">
        <w:t xml:space="preserve"> І півріччя </w:t>
      </w:r>
      <w:r w:rsidRPr="00305F28">
        <w:t xml:space="preserve">2021 рік (уточнений план </w:t>
      </w:r>
      <w:r w:rsidR="00AE178F">
        <w:t>3 472,4</w:t>
      </w:r>
      <w:r>
        <w:t xml:space="preserve"> </w:t>
      </w:r>
      <w:r w:rsidRPr="00305F28">
        <w:t xml:space="preserve"> тис.</w:t>
      </w:r>
      <w:r>
        <w:t xml:space="preserve"> </w:t>
      </w:r>
      <w:r w:rsidRPr="00305F28">
        <w:t>грн.).</w:t>
      </w:r>
    </w:p>
    <w:p w:rsidR="005E0CD4" w:rsidRPr="00305F28" w:rsidRDefault="005E0CD4" w:rsidP="005E0CD4">
      <w:pPr>
        <w:ind w:firstLine="72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1307"/>
        <w:gridCol w:w="1987"/>
        <w:gridCol w:w="1989"/>
        <w:gridCol w:w="1695"/>
      </w:tblGrid>
      <w:tr w:rsidR="005E0CD4" w:rsidRPr="00305F28" w:rsidTr="0066310A">
        <w:tc>
          <w:tcPr>
            <w:tcW w:w="1376" w:type="pct"/>
            <w:shd w:val="clear" w:color="auto" w:fill="auto"/>
          </w:tcPr>
          <w:p w:rsidR="005E0CD4" w:rsidRPr="00305F28" w:rsidRDefault="005E0CD4" w:rsidP="0066310A">
            <w:pPr>
              <w:snapToGrid w:val="0"/>
              <w:jc w:val="both"/>
              <w:rPr>
                <w:sz w:val="28"/>
              </w:rPr>
            </w:pPr>
          </w:p>
          <w:p w:rsidR="005E0CD4" w:rsidRPr="00305F28" w:rsidRDefault="005E0CD4" w:rsidP="0066310A">
            <w:pPr>
              <w:jc w:val="both"/>
              <w:rPr>
                <w:sz w:val="28"/>
              </w:rPr>
            </w:pPr>
          </w:p>
        </w:tc>
        <w:tc>
          <w:tcPr>
            <w:tcW w:w="679" w:type="pct"/>
            <w:shd w:val="clear" w:color="auto" w:fill="auto"/>
          </w:tcPr>
          <w:p w:rsidR="005E0CD4" w:rsidRPr="00305F28" w:rsidRDefault="005E0CD4" w:rsidP="0066310A">
            <w:pPr>
              <w:jc w:val="center"/>
              <w:rPr>
                <w:sz w:val="28"/>
              </w:rPr>
            </w:pPr>
            <w:r w:rsidRPr="00305F28">
              <w:rPr>
                <w:sz w:val="28"/>
              </w:rPr>
              <w:t>К-сть установ</w:t>
            </w:r>
          </w:p>
        </w:tc>
        <w:tc>
          <w:tcPr>
            <w:tcW w:w="1032" w:type="pct"/>
            <w:shd w:val="clear" w:color="auto" w:fill="auto"/>
          </w:tcPr>
          <w:p w:rsidR="005E0CD4" w:rsidRPr="00305F28" w:rsidRDefault="005E0CD4" w:rsidP="0066310A">
            <w:pPr>
              <w:jc w:val="center"/>
              <w:rPr>
                <w:sz w:val="28"/>
              </w:rPr>
            </w:pPr>
            <w:proofErr w:type="spellStart"/>
            <w:r w:rsidRPr="00305F28">
              <w:rPr>
                <w:sz w:val="28"/>
              </w:rPr>
              <w:t>Уточн</w:t>
            </w:r>
            <w:proofErr w:type="spellEnd"/>
            <w:r w:rsidRPr="00305F28">
              <w:rPr>
                <w:sz w:val="28"/>
              </w:rPr>
              <w:t>.</w:t>
            </w:r>
          </w:p>
          <w:p w:rsidR="005E0CD4" w:rsidRPr="00305F28" w:rsidRDefault="005E0CD4" w:rsidP="0066310A">
            <w:pPr>
              <w:jc w:val="center"/>
              <w:rPr>
                <w:sz w:val="28"/>
              </w:rPr>
            </w:pPr>
            <w:r w:rsidRPr="00305F28">
              <w:rPr>
                <w:sz w:val="28"/>
              </w:rPr>
              <w:t xml:space="preserve">план на </w:t>
            </w:r>
            <w:r w:rsidR="00923E73">
              <w:rPr>
                <w:sz w:val="28"/>
              </w:rPr>
              <w:t>І півріччя</w:t>
            </w:r>
            <w:r>
              <w:rPr>
                <w:sz w:val="28"/>
              </w:rPr>
              <w:t xml:space="preserve"> </w:t>
            </w:r>
            <w:r w:rsidRPr="00305F28">
              <w:rPr>
                <w:sz w:val="28"/>
              </w:rPr>
              <w:t>2021 р.</w:t>
            </w:r>
          </w:p>
        </w:tc>
        <w:tc>
          <w:tcPr>
            <w:tcW w:w="1033" w:type="pct"/>
            <w:shd w:val="clear" w:color="auto" w:fill="auto"/>
          </w:tcPr>
          <w:p w:rsidR="005E0CD4" w:rsidRPr="00305F28" w:rsidRDefault="00923E73" w:rsidP="0066310A">
            <w:pPr>
              <w:ind w:left="149" w:right="-120"/>
              <w:jc w:val="center"/>
              <w:rPr>
                <w:sz w:val="28"/>
              </w:rPr>
            </w:pPr>
            <w:proofErr w:type="spellStart"/>
            <w:r>
              <w:rPr>
                <w:sz w:val="28"/>
              </w:rPr>
              <w:t>Викор</w:t>
            </w:r>
            <w:proofErr w:type="spellEnd"/>
            <w:r>
              <w:rPr>
                <w:sz w:val="28"/>
              </w:rPr>
              <w:t>. за І півріччя</w:t>
            </w:r>
            <w:r w:rsidR="005E0CD4" w:rsidRPr="00305F28">
              <w:rPr>
                <w:sz w:val="28"/>
              </w:rPr>
              <w:t xml:space="preserve">  2021 року</w:t>
            </w:r>
          </w:p>
        </w:tc>
        <w:tc>
          <w:tcPr>
            <w:tcW w:w="880" w:type="pct"/>
            <w:shd w:val="clear" w:color="auto" w:fill="auto"/>
          </w:tcPr>
          <w:p w:rsidR="005E0CD4" w:rsidRPr="00305F28" w:rsidRDefault="005E0CD4" w:rsidP="0066310A">
            <w:pPr>
              <w:jc w:val="center"/>
              <w:rPr>
                <w:sz w:val="28"/>
              </w:rPr>
            </w:pPr>
            <w:r w:rsidRPr="00305F28">
              <w:rPr>
                <w:sz w:val="28"/>
              </w:rPr>
              <w:t xml:space="preserve">% </w:t>
            </w:r>
            <w:proofErr w:type="spellStart"/>
            <w:r w:rsidRPr="00305F28">
              <w:rPr>
                <w:sz w:val="28"/>
              </w:rPr>
              <w:t>виконан</w:t>
            </w:r>
            <w:proofErr w:type="spellEnd"/>
            <w:r w:rsidRPr="00305F28">
              <w:rPr>
                <w:sz w:val="28"/>
              </w:rPr>
              <w:t>-ня</w:t>
            </w:r>
          </w:p>
          <w:p w:rsidR="005E0CD4" w:rsidRPr="00305F28" w:rsidRDefault="005E0CD4" w:rsidP="0066310A">
            <w:pPr>
              <w:jc w:val="center"/>
              <w:rPr>
                <w:sz w:val="28"/>
              </w:rPr>
            </w:pPr>
          </w:p>
        </w:tc>
      </w:tr>
      <w:tr w:rsidR="005E0CD4" w:rsidRPr="00305F28" w:rsidTr="0066310A">
        <w:tc>
          <w:tcPr>
            <w:tcW w:w="1376" w:type="pct"/>
            <w:shd w:val="clear" w:color="auto" w:fill="auto"/>
          </w:tcPr>
          <w:p w:rsidR="005E0CD4" w:rsidRPr="00305F28" w:rsidRDefault="005E0CD4" w:rsidP="0066310A">
            <w:pPr>
              <w:rPr>
                <w:sz w:val="28"/>
              </w:rPr>
            </w:pPr>
            <w:r w:rsidRPr="00305F28">
              <w:rPr>
                <w:sz w:val="28"/>
              </w:rPr>
              <w:t>Клуби та будинки культури</w:t>
            </w:r>
          </w:p>
        </w:tc>
        <w:tc>
          <w:tcPr>
            <w:tcW w:w="679" w:type="pct"/>
            <w:shd w:val="clear" w:color="auto" w:fill="auto"/>
          </w:tcPr>
          <w:p w:rsidR="005E0CD4" w:rsidRPr="00305F28" w:rsidRDefault="005E0CD4" w:rsidP="0066310A">
            <w:pPr>
              <w:jc w:val="center"/>
              <w:rPr>
                <w:sz w:val="28"/>
              </w:rPr>
            </w:pPr>
            <w:r>
              <w:rPr>
                <w:sz w:val="28"/>
              </w:rPr>
              <w:t>10</w:t>
            </w:r>
          </w:p>
          <w:p w:rsidR="005E0CD4" w:rsidRPr="00305F28" w:rsidRDefault="005E0CD4" w:rsidP="0066310A">
            <w:pPr>
              <w:jc w:val="center"/>
              <w:rPr>
                <w:sz w:val="28"/>
              </w:rPr>
            </w:pPr>
          </w:p>
        </w:tc>
        <w:tc>
          <w:tcPr>
            <w:tcW w:w="1032" w:type="pct"/>
            <w:shd w:val="clear" w:color="auto" w:fill="auto"/>
          </w:tcPr>
          <w:p w:rsidR="005E0CD4" w:rsidRPr="00305F28" w:rsidRDefault="00FE5A23" w:rsidP="0066310A">
            <w:pPr>
              <w:jc w:val="center"/>
              <w:rPr>
                <w:sz w:val="28"/>
              </w:rPr>
            </w:pPr>
            <w:r>
              <w:rPr>
                <w:sz w:val="28"/>
              </w:rPr>
              <w:t>1904,0</w:t>
            </w:r>
          </w:p>
        </w:tc>
        <w:tc>
          <w:tcPr>
            <w:tcW w:w="1033" w:type="pct"/>
            <w:shd w:val="clear" w:color="auto" w:fill="auto"/>
          </w:tcPr>
          <w:p w:rsidR="005E0CD4" w:rsidRPr="00305F28" w:rsidRDefault="00FE5A23" w:rsidP="0066310A">
            <w:pPr>
              <w:jc w:val="center"/>
              <w:rPr>
                <w:sz w:val="28"/>
              </w:rPr>
            </w:pPr>
            <w:r>
              <w:rPr>
                <w:sz w:val="28"/>
              </w:rPr>
              <w:t>1513,0</w:t>
            </w:r>
          </w:p>
        </w:tc>
        <w:tc>
          <w:tcPr>
            <w:tcW w:w="880" w:type="pct"/>
            <w:shd w:val="clear" w:color="auto" w:fill="auto"/>
          </w:tcPr>
          <w:p w:rsidR="005E0CD4" w:rsidRPr="00305F28" w:rsidRDefault="00FE5A23" w:rsidP="0066310A">
            <w:pPr>
              <w:jc w:val="center"/>
            </w:pPr>
            <w:r>
              <w:rPr>
                <w:sz w:val="28"/>
              </w:rPr>
              <w:t>79,5</w:t>
            </w:r>
          </w:p>
        </w:tc>
      </w:tr>
      <w:tr w:rsidR="005E0CD4" w:rsidRPr="00305F28" w:rsidTr="0066310A">
        <w:tc>
          <w:tcPr>
            <w:tcW w:w="1376" w:type="pct"/>
            <w:shd w:val="clear" w:color="auto" w:fill="auto"/>
          </w:tcPr>
          <w:p w:rsidR="005E0CD4" w:rsidRPr="00305F28" w:rsidRDefault="005E0CD4" w:rsidP="0066310A">
            <w:pPr>
              <w:rPr>
                <w:sz w:val="28"/>
              </w:rPr>
            </w:pPr>
            <w:r w:rsidRPr="00305F28">
              <w:rPr>
                <w:sz w:val="28"/>
              </w:rPr>
              <w:t>Бібліотеки та філіали</w:t>
            </w:r>
          </w:p>
        </w:tc>
        <w:tc>
          <w:tcPr>
            <w:tcW w:w="679" w:type="pct"/>
            <w:shd w:val="clear" w:color="auto" w:fill="auto"/>
          </w:tcPr>
          <w:p w:rsidR="005E0CD4" w:rsidRPr="00305F28" w:rsidRDefault="005E0CD4" w:rsidP="0066310A">
            <w:pPr>
              <w:jc w:val="center"/>
              <w:rPr>
                <w:sz w:val="28"/>
              </w:rPr>
            </w:pPr>
            <w:r>
              <w:rPr>
                <w:sz w:val="28"/>
              </w:rPr>
              <w:t>14</w:t>
            </w:r>
          </w:p>
          <w:p w:rsidR="005E0CD4" w:rsidRPr="00305F28" w:rsidRDefault="005E0CD4" w:rsidP="0066310A">
            <w:pPr>
              <w:jc w:val="center"/>
              <w:rPr>
                <w:sz w:val="28"/>
              </w:rPr>
            </w:pPr>
          </w:p>
        </w:tc>
        <w:tc>
          <w:tcPr>
            <w:tcW w:w="1032" w:type="pct"/>
            <w:shd w:val="clear" w:color="auto" w:fill="auto"/>
          </w:tcPr>
          <w:p w:rsidR="005E0CD4" w:rsidRPr="00305F28" w:rsidRDefault="00FE5A23" w:rsidP="0066310A">
            <w:pPr>
              <w:jc w:val="center"/>
              <w:rPr>
                <w:sz w:val="28"/>
              </w:rPr>
            </w:pPr>
            <w:r>
              <w:rPr>
                <w:sz w:val="28"/>
              </w:rPr>
              <w:t>1408,9</w:t>
            </w:r>
          </w:p>
          <w:p w:rsidR="005E0CD4" w:rsidRPr="00305F28" w:rsidRDefault="005E0CD4" w:rsidP="0066310A">
            <w:pPr>
              <w:jc w:val="center"/>
              <w:rPr>
                <w:sz w:val="28"/>
              </w:rPr>
            </w:pPr>
          </w:p>
        </w:tc>
        <w:tc>
          <w:tcPr>
            <w:tcW w:w="1033" w:type="pct"/>
            <w:shd w:val="clear" w:color="auto" w:fill="auto"/>
          </w:tcPr>
          <w:p w:rsidR="005E0CD4" w:rsidRPr="00305F28" w:rsidRDefault="00FE5A23" w:rsidP="0066310A">
            <w:pPr>
              <w:jc w:val="center"/>
              <w:rPr>
                <w:sz w:val="28"/>
              </w:rPr>
            </w:pPr>
            <w:r>
              <w:rPr>
                <w:sz w:val="28"/>
              </w:rPr>
              <w:t>1342,2</w:t>
            </w:r>
          </w:p>
        </w:tc>
        <w:tc>
          <w:tcPr>
            <w:tcW w:w="880" w:type="pct"/>
            <w:shd w:val="clear" w:color="auto" w:fill="auto"/>
          </w:tcPr>
          <w:p w:rsidR="005E0CD4" w:rsidRPr="00305F28" w:rsidRDefault="00FE5A23" w:rsidP="00FE5A23">
            <w:pPr>
              <w:jc w:val="center"/>
            </w:pPr>
            <w:r>
              <w:rPr>
                <w:sz w:val="28"/>
              </w:rPr>
              <w:t>95,3</w:t>
            </w:r>
          </w:p>
        </w:tc>
      </w:tr>
      <w:tr w:rsidR="005E0CD4" w:rsidRPr="00305F28" w:rsidTr="0066310A">
        <w:tc>
          <w:tcPr>
            <w:tcW w:w="1376" w:type="pct"/>
            <w:shd w:val="clear" w:color="auto" w:fill="auto"/>
          </w:tcPr>
          <w:p w:rsidR="005E0CD4" w:rsidRPr="00305F28" w:rsidRDefault="005E0CD4" w:rsidP="0066310A">
            <w:pPr>
              <w:rPr>
                <w:sz w:val="28"/>
              </w:rPr>
            </w:pPr>
            <w:r>
              <w:rPr>
                <w:sz w:val="28"/>
              </w:rPr>
              <w:t>Музей</w:t>
            </w:r>
          </w:p>
        </w:tc>
        <w:tc>
          <w:tcPr>
            <w:tcW w:w="679" w:type="pct"/>
            <w:shd w:val="clear" w:color="auto" w:fill="auto"/>
          </w:tcPr>
          <w:p w:rsidR="005E0CD4" w:rsidRPr="00305F28" w:rsidRDefault="005E0CD4" w:rsidP="0066310A">
            <w:pPr>
              <w:jc w:val="center"/>
              <w:rPr>
                <w:sz w:val="28"/>
              </w:rPr>
            </w:pPr>
            <w:r>
              <w:rPr>
                <w:sz w:val="28"/>
              </w:rPr>
              <w:t>1</w:t>
            </w:r>
          </w:p>
        </w:tc>
        <w:tc>
          <w:tcPr>
            <w:tcW w:w="1032" w:type="pct"/>
            <w:shd w:val="clear" w:color="auto" w:fill="auto"/>
          </w:tcPr>
          <w:p w:rsidR="005E0CD4" w:rsidRPr="00305F28" w:rsidRDefault="00FE5A23" w:rsidP="0066310A">
            <w:pPr>
              <w:jc w:val="center"/>
              <w:rPr>
                <w:sz w:val="28"/>
              </w:rPr>
            </w:pPr>
            <w:r>
              <w:rPr>
                <w:sz w:val="28"/>
              </w:rPr>
              <w:t>159,5</w:t>
            </w:r>
          </w:p>
        </w:tc>
        <w:tc>
          <w:tcPr>
            <w:tcW w:w="1033" w:type="pct"/>
            <w:shd w:val="clear" w:color="auto" w:fill="auto"/>
          </w:tcPr>
          <w:p w:rsidR="005E0CD4" w:rsidRPr="00305F28" w:rsidRDefault="00FE5A23" w:rsidP="0066310A">
            <w:pPr>
              <w:jc w:val="center"/>
              <w:rPr>
                <w:sz w:val="28"/>
              </w:rPr>
            </w:pPr>
            <w:r>
              <w:rPr>
                <w:sz w:val="28"/>
              </w:rPr>
              <w:t>115,7</w:t>
            </w:r>
          </w:p>
        </w:tc>
        <w:tc>
          <w:tcPr>
            <w:tcW w:w="880" w:type="pct"/>
            <w:shd w:val="clear" w:color="auto" w:fill="auto"/>
          </w:tcPr>
          <w:p w:rsidR="005E0CD4" w:rsidRPr="00305F28" w:rsidRDefault="00FE5A23" w:rsidP="0066310A">
            <w:pPr>
              <w:jc w:val="center"/>
              <w:rPr>
                <w:sz w:val="28"/>
              </w:rPr>
            </w:pPr>
            <w:r>
              <w:rPr>
                <w:sz w:val="28"/>
              </w:rPr>
              <w:t>72,5</w:t>
            </w:r>
          </w:p>
        </w:tc>
      </w:tr>
    </w:tbl>
    <w:p w:rsidR="005E0CD4" w:rsidRDefault="005E0CD4" w:rsidP="005E0CD4">
      <w:pPr>
        <w:ind w:firstLine="720"/>
        <w:jc w:val="both"/>
        <w:rPr>
          <w:sz w:val="28"/>
        </w:rPr>
      </w:pPr>
    </w:p>
    <w:p w:rsidR="00FE5A23" w:rsidRPr="00305F28" w:rsidRDefault="00FE5A23" w:rsidP="005E0CD4">
      <w:pPr>
        <w:ind w:firstLine="720"/>
        <w:jc w:val="both"/>
        <w:rPr>
          <w:sz w:val="28"/>
        </w:rPr>
      </w:pPr>
    </w:p>
    <w:p w:rsidR="005E0CD4" w:rsidRPr="00305F28" w:rsidRDefault="005E0CD4" w:rsidP="005E0CD4">
      <w:pPr>
        <w:pStyle w:val="4"/>
        <w:numPr>
          <w:ilvl w:val="0"/>
          <w:numId w:val="0"/>
        </w:numPr>
        <w:jc w:val="left"/>
      </w:pPr>
    </w:p>
    <w:p w:rsidR="005E0CD4" w:rsidRPr="00305F28" w:rsidRDefault="005E0CD4" w:rsidP="005E0CD4">
      <w:pPr>
        <w:pStyle w:val="4"/>
      </w:pPr>
      <w:r w:rsidRPr="00305F28">
        <w:t>Соціальний захист населення</w:t>
      </w:r>
    </w:p>
    <w:p w:rsidR="005E0CD4" w:rsidRPr="00305F28" w:rsidRDefault="005E0CD4" w:rsidP="005E0CD4"/>
    <w:p w:rsidR="005E0CD4" w:rsidRPr="006B32BA" w:rsidRDefault="005E0CD4" w:rsidP="005E0CD4">
      <w:pPr>
        <w:jc w:val="both"/>
        <w:rPr>
          <w:sz w:val="28"/>
        </w:rPr>
      </w:pPr>
      <w:r w:rsidRPr="00305F28">
        <w:rPr>
          <w:sz w:val="28"/>
        </w:rPr>
        <w:tab/>
        <w:t>На соціальний захист</w:t>
      </w:r>
      <w:r w:rsidR="00923E73">
        <w:rPr>
          <w:sz w:val="28"/>
        </w:rPr>
        <w:t xml:space="preserve"> та соціальне забезпечення </w:t>
      </w:r>
      <w:r w:rsidRPr="00305F28">
        <w:rPr>
          <w:sz w:val="28"/>
        </w:rPr>
        <w:t xml:space="preserve"> </w:t>
      </w:r>
      <w:r w:rsidR="00AE178F">
        <w:rPr>
          <w:sz w:val="28"/>
        </w:rPr>
        <w:t>населення використано 524,5</w:t>
      </w:r>
      <w:r w:rsidRPr="00305F28">
        <w:rPr>
          <w:sz w:val="28"/>
        </w:rPr>
        <w:t xml:space="preserve"> тис.</w:t>
      </w:r>
      <w:r>
        <w:rPr>
          <w:sz w:val="28"/>
        </w:rPr>
        <w:t xml:space="preserve"> </w:t>
      </w:r>
      <w:r w:rsidRPr="00305F28">
        <w:rPr>
          <w:sz w:val="28"/>
        </w:rPr>
        <w:t xml:space="preserve">грн. при уточненому плані на </w:t>
      </w:r>
      <w:r w:rsidR="00923E73">
        <w:rPr>
          <w:sz w:val="28"/>
        </w:rPr>
        <w:t xml:space="preserve">І півріччя </w:t>
      </w:r>
      <w:r w:rsidRPr="00305F28">
        <w:rPr>
          <w:sz w:val="28"/>
        </w:rPr>
        <w:t>202</w:t>
      </w:r>
      <w:r w:rsidR="00AE178F">
        <w:rPr>
          <w:sz w:val="28"/>
        </w:rPr>
        <w:t>1 року – 758,8</w:t>
      </w:r>
      <w:r w:rsidRPr="00305F28">
        <w:rPr>
          <w:sz w:val="28"/>
        </w:rPr>
        <w:t xml:space="preserve"> тис.</w:t>
      </w:r>
      <w:r>
        <w:rPr>
          <w:sz w:val="28"/>
        </w:rPr>
        <w:t xml:space="preserve"> </w:t>
      </w:r>
      <w:r w:rsidR="006B32BA">
        <w:rPr>
          <w:sz w:val="28"/>
        </w:rPr>
        <w:t>грн. з них:</w:t>
      </w:r>
    </w:p>
    <w:p w:rsidR="00923E73" w:rsidRDefault="006B32BA" w:rsidP="006B32BA">
      <w:pPr>
        <w:pStyle w:val="210"/>
      </w:pPr>
      <w:r>
        <w:lastRenderedPageBreak/>
        <w:t>-Програма</w:t>
      </w:r>
      <w:r w:rsidR="005E0CD4" w:rsidRPr="00305F28">
        <w:t xml:space="preserve"> підтримки соціально незахищених верств населення, соціального захисту та підтримки учасників антитерористичної операції (АТО) операції Об'єднаних сил (ООС), учасників бойових дій (УБД), членів їх сімей, члени яких загинули під час проведення АТО, ООС, мешканців </w:t>
      </w:r>
      <w:r w:rsidR="005E0CD4">
        <w:t>Великобичківської селищної</w:t>
      </w:r>
      <w:r w:rsidR="005E0CD4" w:rsidRPr="00305F28">
        <w:t xml:space="preserve"> територіальної громади на 2021 рік</w:t>
      </w:r>
      <w:r w:rsidR="00923E73">
        <w:t>», використано 259,9</w:t>
      </w:r>
      <w:r w:rsidR="005E0CD4" w:rsidRPr="00305F28">
        <w:t xml:space="preserve"> тис.</w:t>
      </w:r>
      <w:r w:rsidR="005E0CD4">
        <w:t xml:space="preserve"> </w:t>
      </w:r>
      <w:r w:rsidR="005E0CD4" w:rsidRPr="00305F28">
        <w:t>грн..</w:t>
      </w:r>
    </w:p>
    <w:p w:rsidR="006B32BA" w:rsidRDefault="006B32BA" w:rsidP="006B32BA">
      <w:pPr>
        <w:pStyle w:val="210"/>
      </w:pPr>
      <w: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 32,6 тис. грн.</w:t>
      </w:r>
    </w:p>
    <w:p w:rsidR="00AE178F" w:rsidRPr="00305F28" w:rsidRDefault="00AE178F" w:rsidP="006B32BA">
      <w:pPr>
        <w:pStyle w:val="210"/>
      </w:pPr>
      <w: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 232,0 тис. грн.</w:t>
      </w:r>
    </w:p>
    <w:p w:rsidR="005E0CD4" w:rsidRPr="00305F28" w:rsidRDefault="005E0CD4" w:rsidP="005E0CD4">
      <w:pPr>
        <w:pStyle w:val="8"/>
        <w:numPr>
          <w:ilvl w:val="0"/>
          <w:numId w:val="0"/>
        </w:numPr>
        <w:jc w:val="left"/>
      </w:pPr>
    </w:p>
    <w:p w:rsidR="005E0CD4" w:rsidRPr="00305F28" w:rsidRDefault="005E0CD4" w:rsidP="005E0CD4">
      <w:pPr>
        <w:pStyle w:val="8"/>
      </w:pPr>
      <w:r w:rsidRPr="00305F28">
        <w:t>Фізична культура і спорт</w:t>
      </w:r>
    </w:p>
    <w:p w:rsidR="005E0CD4" w:rsidRPr="00305F28" w:rsidRDefault="005E0CD4" w:rsidP="005E0CD4"/>
    <w:p w:rsidR="005E0CD4" w:rsidRDefault="005E0CD4" w:rsidP="0087494B">
      <w:pPr>
        <w:jc w:val="both"/>
        <w:rPr>
          <w:sz w:val="28"/>
        </w:rPr>
      </w:pPr>
      <w:r w:rsidRPr="0087494B">
        <w:rPr>
          <w:sz w:val="28"/>
          <w:szCs w:val="28"/>
        </w:rPr>
        <w:tab/>
        <w:t xml:space="preserve">На програму розвитку фізичної культури і спорту на </w:t>
      </w:r>
      <w:r w:rsidR="0087494B" w:rsidRPr="0087494B">
        <w:rPr>
          <w:sz w:val="28"/>
          <w:szCs w:val="28"/>
        </w:rPr>
        <w:t>І півріччя</w:t>
      </w:r>
      <w:r w:rsidRPr="0087494B">
        <w:rPr>
          <w:sz w:val="28"/>
          <w:szCs w:val="28"/>
        </w:rPr>
        <w:t xml:space="preserve"> 2021р. передбачено кошти в сумі </w:t>
      </w:r>
      <w:r w:rsidR="0087494B" w:rsidRPr="0087494B">
        <w:rPr>
          <w:sz w:val="28"/>
          <w:szCs w:val="28"/>
        </w:rPr>
        <w:t>300</w:t>
      </w:r>
      <w:r w:rsidRPr="0087494B">
        <w:rPr>
          <w:sz w:val="28"/>
          <w:szCs w:val="28"/>
        </w:rPr>
        <w:t>,0 тис.</w:t>
      </w:r>
      <w:r w:rsidR="0087494B">
        <w:rPr>
          <w:sz w:val="28"/>
          <w:szCs w:val="28"/>
        </w:rPr>
        <w:t xml:space="preserve"> грн., з яких  використано 89,4</w:t>
      </w:r>
      <w:r w:rsidRPr="0087494B">
        <w:rPr>
          <w:sz w:val="28"/>
          <w:szCs w:val="28"/>
        </w:rPr>
        <w:t xml:space="preserve"> тис. грн.</w:t>
      </w:r>
      <w:r w:rsidR="0087494B" w:rsidRPr="0087494B">
        <w:rPr>
          <w:sz w:val="28"/>
          <w:szCs w:val="28"/>
        </w:rPr>
        <w:t>, на придбання спортивних форм і</w:t>
      </w:r>
      <w:r w:rsidR="0087494B">
        <w:rPr>
          <w:sz w:val="28"/>
          <w:szCs w:val="28"/>
        </w:rPr>
        <w:t xml:space="preserve"> інвентаря -75,9 тис. грн.,</w:t>
      </w:r>
      <w:r w:rsidR="0087494B" w:rsidRPr="0087494B">
        <w:rPr>
          <w:sz w:val="28"/>
          <w:szCs w:val="28"/>
        </w:rPr>
        <w:t xml:space="preserve"> та оплати послуг(перевезення)</w:t>
      </w:r>
      <w:r w:rsidR="0087494B" w:rsidRPr="0087494B">
        <w:rPr>
          <w:sz w:val="28"/>
        </w:rPr>
        <w:t xml:space="preserve"> – 13,5 тис.</w:t>
      </w:r>
      <w:r w:rsidR="0087494B">
        <w:rPr>
          <w:sz w:val="28"/>
        </w:rPr>
        <w:t xml:space="preserve"> </w:t>
      </w:r>
      <w:r w:rsidR="0087494B" w:rsidRPr="0087494B">
        <w:rPr>
          <w:sz w:val="28"/>
        </w:rPr>
        <w:t>грн.</w:t>
      </w:r>
    </w:p>
    <w:p w:rsidR="0087494B" w:rsidRPr="0087494B" w:rsidRDefault="0087494B" w:rsidP="0087494B">
      <w:pPr>
        <w:jc w:val="both"/>
        <w:rPr>
          <w:sz w:val="28"/>
        </w:rPr>
      </w:pPr>
    </w:p>
    <w:p w:rsidR="005E0CD4" w:rsidRPr="00305F28" w:rsidRDefault="005E0CD4" w:rsidP="005E0CD4">
      <w:pPr>
        <w:jc w:val="center"/>
        <w:rPr>
          <w:b/>
          <w:sz w:val="28"/>
        </w:rPr>
      </w:pPr>
      <w:r w:rsidRPr="00305F28">
        <w:rPr>
          <w:b/>
          <w:sz w:val="28"/>
        </w:rPr>
        <w:t>Житлово-комунальне господарство</w:t>
      </w:r>
    </w:p>
    <w:p w:rsidR="005E0CD4" w:rsidRPr="00305F28" w:rsidRDefault="005E0CD4" w:rsidP="005E0CD4">
      <w:pPr>
        <w:jc w:val="center"/>
        <w:rPr>
          <w:b/>
          <w:sz w:val="28"/>
        </w:rPr>
      </w:pPr>
    </w:p>
    <w:p w:rsidR="005E0CD4" w:rsidRPr="00305F28" w:rsidRDefault="005E0CD4" w:rsidP="005E0CD4">
      <w:pPr>
        <w:ind w:firstLine="709"/>
        <w:jc w:val="both"/>
        <w:rPr>
          <w:sz w:val="28"/>
        </w:rPr>
      </w:pPr>
      <w:r w:rsidRPr="00305F28">
        <w:rPr>
          <w:sz w:val="28"/>
        </w:rPr>
        <w:t>Для забезпечення функціонування підприємств, установ та організацій, що виробляють, виконують та/або надають житлово-комунальні послуги (</w:t>
      </w:r>
      <w:r>
        <w:rPr>
          <w:sz w:val="28"/>
        </w:rPr>
        <w:t>за рахунок коштів селищного</w:t>
      </w:r>
      <w:r w:rsidRPr="00305F28">
        <w:rPr>
          <w:sz w:val="28"/>
        </w:rPr>
        <w:t xml:space="preserve"> бюджету</w:t>
      </w:r>
      <w:r w:rsidR="0087494B">
        <w:rPr>
          <w:sz w:val="28"/>
        </w:rPr>
        <w:t xml:space="preserve"> на І півр</w:t>
      </w:r>
      <w:r w:rsidR="00D80E7E">
        <w:rPr>
          <w:sz w:val="28"/>
        </w:rPr>
        <w:t>і</w:t>
      </w:r>
      <w:r w:rsidR="0087494B">
        <w:rPr>
          <w:sz w:val="28"/>
        </w:rPr>
        <w:t>ччя</w:t>
      </w:r>
      <w:r>
        <w:rPr>
          <w:sz w:val="28"/>
        </w:rPr>
        <w:t xml:space="preserve"> 2021 року </w:t>
      </w:r>
      <w:r w:rsidR="00D80E7E">
        <w:rPr>
          <w:sz w:val="28"/>
        </w:rPr>
        <w:t>передбачено кошти в сумі 2 591,0</w:t>
      </w:r>
      <w:r w:rsidRPr="00305F28">
        <w:rPr>
          <w:sz w:val="28"/>
        </w:rPr>
        <w:t xml:space="preserve"> тис.</w:t>
      </w:r>
      <w:r>
        <w:rPr>
          <w:sz w:val="28"/>
        </w:rPr>
        <w:t xml:space="preserve"> </w:t>
      </w:r>
      <w:r w:rsidRPr="00305F28">
        <w:rPr>
          <w:sz w:val="28"/>
        </w:rPr>
        <w:t xml:space="preserve">грн., з </w:t>
      </w:r>
      <w:r w:rsidR="00D80E7E">
        <w:rPr>
          <w:sz w:val="28"/>
        </w:rPr>
        <w:t>яких використано 2 565,6</w:t>
      </w:r>
      <w:r w:rsidRPr="00305F28">
        <w:rPr>
          <w:sz w:val="28"/>
        </w:rPr>
        <w:t xml:space="preserve"> тис.</w:t>
      </w:r>
      <w:r>
        <w:rPr>
          <w:sz w:val="28"/>
        </w:rPr>
        <w:t xml:space="preserve"> </w:t>
      </w:r>
      <w:r w:rsidRPr="00305F28">
        <w:rPr>
          <w:sz w:val="28"/>
        </w:rPr>
        <w:t>грн..</w:t>
      </w:r>
    </w:p>
    <w:p w:rsidR="005E0CD4" w:rsidRPr="00305F28" w:rsidRDefault="005E0CD4" w:rsidP="005E0CD4">
      <w:pPr>
        <w:ind w:firstLine="709"/>
        <w:jc w:val="both"/>
        <w:rPr>
          <w:sz w:val="28"/>
        </w:rPr>
      </w:pPr>
      <w:r w:rsidRPr="00305F28">
        <w:rPr>
          <w:sz w:val="28"/>
        </w:rPr>
        <w:t>Для організації благоустрою на території громади ((КПКВКМБ 0116030) пе</w:t>
      </w:r>
      <w:r w:rsidR="006B6CBA">
        <w:rPr>
          <w:sz w:val="28"/>
        </w:rPr>
        <w:t>редбачено видатки в сумі 2 360,0</w:t>
      </w:r>
      <w:r w:rsidRPr="00305F28">
        <w:rPr>
          <w:sz w:val="28"/>
        </w:rPr>
        <w:t xml:space="preserve"> тис.</w:t>
      </w:r>
      <w:r w:rsidR="006B6CBA">
        <w:rPr>
          <w:sz w:val="28"/>
        </w:rPr>
        <w:t xml:space="preserve"> грн., з яких використано 2 358,0</w:t>
      </w:r>
      <w:r w:rsidRPr="00305F28">
        <w:rPr>
          <w:sz w:val="28"/>
        </w:rPr>
        <w:t xml:space="preserve"> тис.</w:t>
      </w:r>
      <w:r>
        <w:rPr>
          <w:sz w:val="28"/>
        </w:rPr>
        <w:t xml:space="preserve"> </w:t>
      </w:r>
      <w:r w:rsidRPr="00305F28">
        <w:rPr>
          <w:sz w:val="28"/>
        </w:rPr>
        <w:t xml:space="preserve">грн. </w:t>
      </w:r>
    </w:p>
    <w:p w:rsidR="005E0CD4" w:rsidRDefault="005E0CD4" w:rsidP="005E0CD4">
      <w:pPr>
        <w:ind w:firstLine="709"/>
        <w:jc w:val="both"/>
        <w:rPr>
          <w:sz w:val="28"/>
        </w:rPr>
      </w:pPr>
      <w:r w:rsidRPr="00305F28">
        <w:rPr>
          <w:sz w:val="28"/>
        </w:rPr>
        <w:t xml:space="preserve">Для </w:t>
      </w:r>
      <w:r>
        <w:rPr>
          <w:sz w:val="28"/>
        </w:rPr>
        <w:t>забезпечення збору та вивезення сміття  відходів</w:t>
      </w:r>
      <w:r w:rsidRPr="00305F28">
        <w:rPr>
          <w:sz w:val="28"/>
        </w:rPr>
        <w:t xml:space="preserve"> на тер</w:t>
      </w:r>
      <w:r>
        <w:rPr>
          <w:sz w:val="28"/>
        </w:rPr>
        <w:t>иторії громади ((КПКВКМБ 0116014</w:t>
      </w:r>
      <w:r w:rsidRPr="00305F28">
        <w:rPr>
          <w:sz w:val="28"/>
        </w:rPr>
        <w:t>) пе</w:t>
      </w:r>
      <w:r>
        <w:rPr>
          <w:sz w:val="28"/>
        </w:rPr>
        <w:t>редбачен</w:t>
      </w:r>
      <w:r w:rsidR="006B6CBA">
        <w:rPr>
          <w:sz w:val="28"/>
        </w:rPr>
        <w:t>о видатки в сумі 75,0</w:t>
      </w:r>
      <w:r w:rsidRPr="00305F28">
        <w:rPr>
          <w:sz w:val="28"/>
        </w:rPr>
        <w:t xml:space="preserve"> тис.</w:t>
      </w:r>
      <w:r w:rsidR="006B6CBA">
        <w:rPr>
          <w:sz w:val="28"/>
        </w:rPr>
        <w:t xml:space="preserve"> грн., з яких використано 65,</w:t>
      </w:r>
      <w:r>
        <w:rPr>
          <w:sz w:val="28"/>
        </w:rPr>
        <w:t>2</w:t>
      </w:r>
      <w:r w:rsidRPr="00305F28">
        <w:rPr>
          <w:sz w:val="28"/>
        </w:rPr>
        <w:t xml:space="preserve"> тис.</w:t>
      </w:r>
      <w:r>
        <w:rPr>
          <w:sz w:val="28"/>
        </w:rPr>
        <w:t xml:space="preserve"> </w:t>
      </w:r>
      <w:r w:rsidRPr="00305F28">
        <w:rPr>
          <w:sz w:val="28"/>
        </w:rPr>
        <w:t xml:space="preserve">грн. </w:t>
      </w:r>
    </w:p>
    <w:p w:rsidR="005E0CD4" w:rsidRPr="00305F28" w:rsidRDefault="005E0CD4" w:rsidP="005E0CD4">
      <w:pPr>
        <w:ind w:firstLine="709"/>
        <w:jc w:val="both"/>
        <w:rPr>
          <w:sz w:val="28"/>
        </w:rPr>
      </w:pPr>
      <w:r w:rsidRPr="00305F28">
        <w:rPr>
          <w:sz w:val="28"/>
        </w:rPr>
        <w:t xml:space="preserve">Для </w:t>
      </w:r>
      <w:r>
        <w:rPr>
          <w:sz w:val="28"/>
        </w:rPr>
        <w:t>забезпечення діяльності водопровідно-каналізаційного господарства</w:t>
      </w:r>
      <w:r w:rsidRPr="00305F28">
        <w:rPr>
          <w:sz w:val="28"/>
        </w:rPr>
        <w:t xml:space="preserve"> на тер</w:t>
      </w:r>
      <w:r>
        <w:rPr>
          <w:sz w:val="28"/>
        </w:rPr>
        <w:t>иторії громади ((КПКВКМБ 0116013</w:t>
      </w:r>
      <w:r w:rsidRPr="00305F28">
        <w:rPr>
          <w:sz w:val="28"/>
        </w:rPr>
        <w:t>) пе</w:t>
      </w:r>
      <w:r w:rsidR="006B6CBA">
        <w:rPr>
          <w:sz w:val="28"/>
        </w:rPr>
        <w:t>редбачено видатки в сумі 156,0</w:t>
      </w:r>
      <w:r w:rsidRPr="00305F28">
        <w:rPr>
          <w:sz w:val="28"/>
        </w:rPr>
        <w:t xml:space="preserve"> тис.</w:t>
      </w:r>
      <w:r w:rsidR="006B6CBA">
        <w:rPr>
          <w:sz w:val="28"/>
        </w:rPr>
        <w:t xml:space="preserve"> грн., з яких використано 142,4</w:t>
      </w:r>
      <w:r w:rsidRPr="00305F28">
        <w:rPr>
          <w:sz w:val="28"/>
        </w:rPr>
        <w:t xml:space="preserve"> тис.</w:t>
      </w:r>
      <w:r>
        <w:rPr>
          <w:sz w:val="28"/>
        </w:rPr>
        <w:t xml:space="preserve"> </w:t>
      </w:r>
      <w:r w:rsidRPr="00305F28">
        <w:rPr>
          <w:sz w:val="28"/>
        </w:rPr>
        <w:t xml:space="preserve">грн. </w:t>
      </w:r>
    </w:p>
    <w:p w:rsidR="005E0CD4" w:rsidRPr="00305F28" w:rsidRDefault="005E0CD4" w:rsidP="005E0CD4">
      <w:pPr>
        <w:ind w:firstLine="709"/>
        <w:jc w:val="both"/>
        <w:rPr>
          <w:sz w:val="28"/>
        </w:rPr>
      </w:pPr>
    </w:p>
    <w:p w:rsidR="005E0CD4" w:rsidRDefault="005E0CD4" w:rsidP="005E0CD4">
      <w:pPr>
        <w:ind w:firstLine="709"/>
        <w:jc w:val="center"/>
        <w:rPr>
          <w:sz w:val="28"/>
        </w:rPr>
      </w:pPr>
    </w:p>
    <w:p w:rsidR="006B6CBA" w:rsidRDefault="006B6CBA" w:rsidP="005E0CD4">
      <w:pPr>
        <w:ind w:firstLine="709"/>
        <w:jc w:val="center"/>
        <w:rPr>
          <w:sz w:val="28"/>
        </w:rPr>
      </w:pPr>
    </w:p>
    <w:p w:rsidR="006B6CBA" w:rsidRPr="00305F28" w:rsidRDefault="006B6CBA" w:rsidP="005E0CD4">
      <w:pPr>
        <w:ind w:firstLine="709"/>
        <w:jc w:val="center"/>
        <w:rPr>
          <w:sz w:val="28"/>
        </w:rPr>
      </w:pPr>
    </w:p>
    <w:p w:rsidR="005E0CD4" w:rsidRPr="00305F28" w:rsidRDefault="005E0CD4" w:rsidP="005E0CD4">
      <w:pPr>
        <w:jc w:val="center"/>
        <w:rPr>
          <w:b/>
          <w:sz w:val="28"/>
        </w:rPr>
      </w:pPr>
      <w:r w:rsidRPr="00305F28">
        <w:rPr>
          <w:b/>
          <w:sz w:val="28"/>
        </w:rPr>
        <w:t>Економічна діяльність</w:t>
      </w:r>
    </w:p>
    <w:p w:rsidR="005E0CD4" w:rsidRPr="00305F28" w:rsidRDefault="005E0CD4" w:rsidP="005E0CD4">
      <w:pPr>
        <w:ind w:firstLine="567"/>
        <w:jc w:val="center"/>
        <w:rPr>
          <w:sz w:val="28"/>
        </w:rPr>
      </w:pPr>
    </w:p>
    <w:p w:rsidR="00AB7AC1" w:rsidRDefault="005E0CD4" w:rsidP="00AB7AC1">
      <w:pPr>
        <w:ind w:firstLine="567"/>
        <w:jc w:val="both"/>
        <w:rPr>
          <w:sz w:val="28"/>
        </w:rPr>
      </w:pPr>
      <w:r w:rsidRPr="00305F28">
        <w:rPr>
          <w:sz w:val="28"/>
        </w:rPr>
        <w:t xml:space="preserve">На здійснення заходів із землеустрою </w:t>
      </w:r>
      <w:r w:rsidR="006B6CBA">
        <w:rPr>
          <w:sz w:val="28"/>
        </w:rPr>
        <w:t xml:space="preserve">та інші програми та заходи пов'язані з економічною діяльністю </w:t>
      </w:r>
      <w:r>
        <w:rPr>
          <w:sz w:val="28"/>
        </w:rPr>
        <w:t xml:space="preserve">на І </w:t>
      </w:r>
      <w:r w:rsidR="006B6CBA">
        <w:rPr>
          <w:sz w:val="28"/>
        </w:rPr>
        <w:t>півріччя</w:t>
      </w:r>
      <w:r>
        <w:rPr>
          <w:sz w:val="28"/>
        </w:rPr>
        <w:t xml:space="preserve"> 2021 р</w:t>
      </w:r>
      <w:r w:rsidR="006B6CBA">
        <w:rPr>
          <w:sz w:val="28"/>
        </w:rPr>
        <w:t>оку передбачено видатки в сумі 102,0</w:t>
      </w:r>
      <w:r w:rsidRPr="00305F28">
        <w:rPr>
          <w:sz w:val="28"/>
        </w:rPr>
        <w:t xml:space="preserve"> тис.</w:t>
      </w:r>
      <w:r>
        <w:rPr>
          <w:sz w:val="28"/>
        </w:rPr>
        <w:t xml:space="preserve"> </w:t>
      </w:r>
      <w:r w:rsidR="006B6CBA">
        <w:rPr>
          <w:sz w:val="28"/>
        </w:rPr>
        <w:t xml:space="preserve">грн., </w:t>
      </w:r>
      <w:r w:rsidR="00AB7AC1">
        <w:rPr>
          <w:sz w:val="28"/>
        </w:rPr>
        <w:t>використані кошти в сумі -20,0 тис. грн. на проектно-вишукані роботи.</w:t>
      </w:r>
    </w:p>
    <w:p w:rsidR="005E0CD4" w:rsidRPr="00305F28" w:rsidRDefault="005E0CD4" w:rsidP="005E0CD4">
      <w:pPr>
        <w:ind w:firstLine="567"/>
        <w:jc w:val="both"/>
        <w:rPr>
          <w:sz w:val="28"/>
        </w:rPr>
      </w:pPr>
      <w:r>
        <w:rPr>
          <w:sz w:val="28"/>
        </w:rPr>
        <w:lastRenderedPageBreak/>
        <w:tab/>
        <w:t>Членські внески до асоціації органів місце</w:t>
      </w:r>
      <w:r w:rsidR="00AB7AC1">
        <w:rPr>
          <w:sz w:val="28"/>
        </w:rPr>
        <w:t>вого самоврядування на І півріччя</w:t>
      </w:r>
      <w:r>
        <w:rPr>
          <w:sz w:val="28"/>
        </w:rPr>
        <w:t xml:space="preserve"> 2021 року передбачено видатки в сумі 20</w:t>
      </w:r>
      <w:r w:rsidRPr="00305F28">
        <w:rPr>
          <w:sz w:val="28"/>
        </w:rPr>
        <w:t>,0 тис.</w:t>
      </w:r>
      <w:r>
        <w:rPr>
          <w:sz w:val="28"/>
        </w:rPr>
        <w:t xml:space="preserve"> </w:t>
      </w:r>
      <w:r w:rsidRPr="00305F28">
        <w:rPr>
          <w:sz w:val="28"/>
        </w:rPr>
        <w:t>грн., використання не було.</w:t>
      </w:r>
    </w:p>
    <w:p w:rsidR="005E0CD4" w:rsidRPr="00305F28" w:rsidRDefault="005E0CD4" w:rsidP="005E0CD4">
      <w:pPr>
        <w:jc w:val="center"/>
        <w:rPr>
          <w:b/>
          <w:sz w:val="28"/>
        </w:rPr>
      </w:pPr>
      <w:r w:rsidRPr="00305F28">
        <w:rPr>
          <w:b/>
          <w:sz w:val="28"/>
        </w:rPr>
        <w:t>Інша діяльність</w:t>
      </w:r>
    </w:p>
    <w:p w:rsidR="005E0CD4" w:rsidRPr="00305F28" w:rsidRDefault="005E0CD4" w:rsidP="005E0CD4">
      <w:pPr>
        <w:ind w:firstLine="567"/>
        <w:jc w:val="center"/>
        <w:rPr>
          <w:b/>
          <w:sz w:val="28"/>
        </w:rPr>
      </w:pPr>
    </w:p>
    <w:p w:rsidR="00387A67" w:rsidRDefault="005E0CD4" w:rsidP="005E0CD4">
      <w:pPr>
        <w:ind w:firstLine="567"/>
        <w:jc w:val="both"/>
        <w:rPr>
          <w:sz w:val="28"/>
        </w:rPr>
      </w:pPr>
      <w:r>
        <w:rPr>
          <w:sz w:val="28"/>
        </w:rPr>
        <w:t>Забезпечення діяльності місцево</w:t>
      </w:r>
      <w:r w:rsidR="00AB7AC1">
        <w:rPr>
          <w:sz w:val="28"/>
        </w:rPr>
        <w:t>ї пожежної охорони на  І півріччя</w:t>
      </w:r>
      <w:r>
        <w:rPr>
          <w:sz w:val="28"/>
        </w:rPr>
        <w:t xml:space="preserve"> 2021 року </w:t>
      </w:r>
      <w:r w:rsidR="00387A67">
        <w:rPr>
          <w:sz w:val="28"/>
        </w:rPr>
        <w:t>передбачено видатки в сумі 769,0</w:t>
      </w:r>
      <w:r w:rsidRPr="00305F28">
        <w:rPr>
          <w:sz w:val="28"/>
        </w:rPr>
        <w:t xml:space="preserve"> тис.</w:t>
      </w:r>
      <w:r>
        <w:rPr>
          <w:sz w:val="28"/>
        </w:rPr>
        <w:t xml:space="preserve"> </w:t>
      </w:r>
      <w:r w:rsidR="00387A67">
        <w:rPr>
          <w:sz w:val="28"/>
        </w:rPr>
        <w:t>грн., на заробітну плату з нарахуваннями використані видатки в сумі – 339,6 тис. грн.,</w:t>
      </w:r>
      <w:r w:rsidR="00391B8E">
        <w:rPr>
          <w:sz w:val="28"/>
        </w:rPr>
        <w:t xml:space="preserve"> придбання палива </w:t>
      </w:r>
      <w:r w:rsidR="00387A67">
        <w:rPr>
          <w:sz w:val="28"/>
        </w:rPr>
        <w:t xml:space="preserve">і послуги </w:t>
      </w:r>
      <w:r w:rsidR="00391B8E">
        <w:rPr>
          <w:sz w:val="28"/>
        </w:rPr>
        <w:t>– 29,3 тис. грн.</w:t>
      </w:r>
      <w:r w:rsidR="00387A67">
        <w:rPr>
          <w:sz w:val="28"/>
        </w:rPr>
        <w:t xml:space="preserve">  </w:t>
      </w:r>
    </w:p>
    <w:p w:rsidR="005E0CD4" w:rsidRDefault="00387A67" w:rsidP="005E0CD4">
      <w:pPr>
        <w:ind w:firstLine="567"/>
        <w:jc w:val="both"/>
        <w:rPr>
          <w:sz w:val="28"/>
        </w:rPr>
      </w:pPr>
      <w:r>
        <w:rPr>
          <w:sz w:val="28"/>
        </w:rPr>
        <w:t xml:space="preserve"> </w:t>
      </w:r>
      <w:r w:rsidR="005E0CD4">
        <w:rPr>
          <w:sz w:val="28"/>
        </w:rPr>
        <w:t xml:space="preserve">Заходи та роботи з мобілізаційної підготовки місцевого </w:t>
      </w:r>
      <w:r w:rsidR="00391B8E">
        <w:rPr>
          <w:sz w:val="28"/>
        </w:rPr>
        <w:t xml:space="preserve">значення охорони на  І півріччя </w:t>
      </w:r>
      <w:r w:rsidR="005E0CD4">
        <w:rPr>
          <w:sz w:val="28"/>
        </w:rPr>
        <w:t xml:space="preserve"> 2021 рок</w:t>
      </w:r>
      <w:r w:rsidR="00391B8E">
        <w:rPr>
          <w:sz w:val="28"/>
        </w:rPr>
        <w:t>у передбачено видатки в сумі 16,9</w:t>
      </w:r>
      <w:r w:rsidR="005E0CD4" w:rsidRPr="00305F28">
        <w:rPr>
          <w:sz w:val="28"/>
        </w:rPr>
        <w:t xml:space="preserve"> тис.</w:t>
      </w:r>
      <w:r w:rsidR="005E0CD4">
        <w:rPr>
          <w:sz w:val="28"/>
        </w:rPr>
        <w:t xml:space="preserve"> грн., використано-16,9 тис. грн.</w:t>
      </w:r>
    </w:p>
    <w:p w:rsidR="00C664BD" w:rsidRPr="00305F28" w:rsidRDefault="00391B8E" w:rsidP="00391B8E">
      <w:pPr>
        <w:pStyle w:val="a6"/>
        <w:ind w:firstLine="0"/>
        <w:rPr>
          <w:b/>
        </w:rPr>
      </w:pPr>
      <w:r w:rsidRPr="00305F28">
        <w:rPr>
          <w:b/>
        </w:rPr>
        <w:t xml:space="preserve"> </w:t>
      </w:r>
    </w:p>
    <w:p w:rsidR="005E0CD4" w:rsidRPr="00682052" w:rsidRDefault="005E0CD4" w:rsidP="005E0CD4">
      <w:pPr>
        <w:jc w:val="center"/>
        <w:rPr>
          <w:b/>
          <w:sz w:val="28"/>
        </w:rPr>
      </w:pPr>
      <w:r w:rsidRPr="00682052">
        <w:rPr>
          <w:b/>
          <w:sz w:val="28"/>
        </w:rPr>
        <w:t>Спеціальний фонд.</w:t>
      </w:r>
    </w:p>
    <w:p w:rsidR="00E07067" w:rsidRDefault="00E07067" w:rsidP="00E07067">
      <w:pPr>
        <w:jc w:val="both"/>
        <w:rPr>
          <w:sz w:val="28"/>
        </w:rPr>
      </w:pPr>
    </w:p>
    <w:p w:rsidR="00AA26C2" w:rsidRDefault="00E07067" w:rsidP="00E07067">
      <w:pPr>
        <w:pStyle w:val="a6"/>
      </w:pPr>
      <w:r w:rsidRPr="00305F28">
        <w:t xml:space="preserve">Видаткова частина бюджету </w:t>
      </w:r>
      <w:r>
        <w:t>спеціального</w:t>
      </w:r>
      <w:r w:rsidRPr="00305F28">
        <w:t xml:space="preserve"> фонду за І</w:t>
      </w:r>
      <w:r>
        <w:t xml:space="preserve"> півріччя </w:t>
      </w:r>
      <w:r w:rsidRPr="00305F28">
        <w:t xml:space="preserve">2021 року становить </w:t>
      </w:r>
      <w:r>
        <w:t xml:space="preserve">943,9 </w:t>
      </w:r>
      <w:r w:rsidRPr="00305F28">
        <w:t xml:space="preserve"> тис.</w:t>
      </w:r>
      <w:r>
        <w:t xml:space="preserve"> грн., або 27,9</w:t>
      </w:r>
      <w:r w:rsidRPr="00305F28">
        <w:t xml:space="preserve"> відсотків до уточне</w:t>
      </w:r>
      <w:r>
        <w:t xml:space="preserve">ного планового показника на І півріччя 2021 року </w:t>
      </w:r>
      <w:r w:rsidRPr="00305F28">
        <w:t xml:space="preserve">(уточнений план </w:t>
      </w:r>
      <w:r>
        <w:t>– 3 387,2</w:t>
      </w:r>
      <w:r w:rsidRPr="00305F28">
        <w:t xml:space="preserve"> тис.</w:t>
      </w:r>
      <w:r>
        <w:t xml:space="preserve"> </w:t>
      </w:r>
      <w:r w:rsidRPr="00305F28">
        <w:t xml:space="preserve">грн.). </w:t>
      </w:r>
    </w:p>
    <w:p w:rsidR="00104EAD" w:rsidRDefault="00523840" w:rsidP="007B5EE2">
      <w:pPr>
        <w:pStyle w:val="a6"/>
      </w:pPr>
      <w:r>
        <w:t>За кошти бюджету спеціального фонду було проведено</w:t>
      </w:r>
      <w:r w:rsidR="00104EAD">
        <w:t>:</w:t>
      </w:r>
    </w:p>
    <w:p w:rsidR="00104EAD" w:rsidRDefault="00104EAD" w:rsidP="00104EAD">
      <w:pPr>
        <w:pStyle w:val="a6"/>
      </w:pPr>
      <w:r>
        <w:t>-</w:t>
      </w:r>
      <w:r w:rsidR="00523840">
        <w:t xml:space="preserve"> придбання обладнання і предметів довгострокового користування в сумі – 281,3 тис. грн.,</w:t>
      </w:r>
    </w:p>
    <w:p w:rsidR="00E07067" w:rsidRDefault="00104EAD" w:rsidP="00104EAD">
      <w:pPr>
        <w:pStyle w:val="a6"/>
      </w:pPr>
      <w:r>
        <w:t>-</w:t>
      </w:r>
      <w:r w:rsidR="00523840">
        <w:t xml:space="preserve"> проведено </w:t>
      </w:r>
      <w:r w:rsidR="007B5EE2">
        <w:t xml:space="preserve">оплату за виготовлення проектно-кошторисної документації та експертизи на «Капітальний ремонт першого поверху орендованих приміщень в смт. Великий Бичків по вул. Грушевського 110». </w:t>
      </w:r>
      <w:r>
        <w:t>В сумі -57,0 тис. грн.,</w:t>
      </w:r>
    </w:p>
    <w:p w:rsidR="00C75E85" w:rsidRDefault="00104EAD" w:rsidP="00104EAD">
      <w:pPr>
        <w:pStyle w:val="a6"/>
        <w:rPr>
          <w:lang w:val="ru-RU"/>
        </w:rPr>
      </w:pPr>
      <w:r>
        <w:t>- проведено оплату за виготовлення проектно-кошторисної документації  на будівництво спортивного майданчика з елементами спортивного комплексу для вуличних тренувань (</w:t>
      </w:r>
      <w:r>
        <w:rPr>
          <w:lang w:val="en-US"/>
        </w:rPr>
        <w:t>Street</w:t>
      </w:r>
      <w:r w:rsidRPr="00104EAD">
        <w:rPr>
          <w:lang w:val="ru-RU"/>
        </w:rPr>
        <w:t xml:space="preserve"> </w:t>
      </w:r>
      <w:r>
        <w:rPr>
          <w:lang w:val="en-US"/>
        </w:rPr>
        <w:t>workout</w:t>
      </w:r>
      <w:r w:rsidRPr="00104EAD">
        <w:rPr>
          <w:lang w:val="ru-RU"/>
        </w:rPr>
        <w:t xml:space="preserve">) </w:t>
      </w:r>
      <w:r>
        <w:rPr>
          <w:lang w:val="ru-RU"/>
        </w:rPr>
        <w:t xml:space="preserve">в </w:t>
      </w:r>
      <w:proofErr w:type="spellStart"/>
      <w:r>
        <w:rPr>
          <w:lang w:val="ru-RU"/>
        </w:rPr>
        <w:t>смт</w:t>
      </w:r>
      <w:proofErr w:type="spellEnd"/>
      <w:r>
        <w:rPr>
          <w:lang w:val="ru-RU"/>
        </w:rPr>
        <w:t xml:space="preserve"> .</w:t>
      </w:r>
      <w:r w:rsidR="00C75E85">
        <w:rPr>
          <w:lang w:val="ru-RU"/>
        </w:rPr>
        <w:t xml:space="preserve"> Великий </w:t>
      </w:r>
      <w:proofErr w:type="spellStart"/>
      <w:r w:rsidR="00C75E85">
        <w:rPr>
          <w:lang w:val="ru-RU"/>
        </w:rPr>
        <w:t>Бичків</w:t>
      </w:r>
      <w:proofErr w:type="spellEnd"/>
      <w:r w:rsidR="00C75E85">
        <w:rPr>
          <w:lang w:val="ru-RU"/>
        </w:rPr>
        <w:t xml:space="preserve"> </w:t>
      </w:r>
      <w:proofErr w:type="spellStart"/>
      <w:r w:rsidR="00C75E85">
        <w:rPr>
          <w:lang w:val="ru-RU"/>
        </w:rPr>
        <w:t>вул</w:t>
      </w:r>
      <w:proofErr w:type="spellEnd"/>
      <w:r w:rsidR="00C75E85">
        <w:rPr>
          <w:lang w:val="ru-RU"/>
        </w:rPr>
        <w:t xml:space="preserve">. </w:t>
      </w:r>
      <w:proofErr w:type="spellStart"/>
      <w:proofErr w:type="gramStart"/>
      <w:r w:rsidR="00C75E85">
        <w:rPr>
          <w:lang w:val="ru-RU"/>
        </w:rPr>
        <w:t>Промислова</w:t>
      </w:r>
      <w:proofErr w:type="spellEnd"/>
      <w:r w:rsidR="00C75E85">
        <w:rPr>
          <w:lang w:val="ru-RU"/>
        </w:rPr>
        <w:t xml:space="preserve">  в</w:t>
      </w:r>
      <w:proofErr w:type="gramEnd"/>
      <w:r w:rsidR="00C75E85">
        <w:rPr>
          <w:lang w:val="ru-RU"/>
        </w:rPr>
        <w:t xml:space="preserve"> </w:t>
      </w:r>
      <w:proofErr w:type="spellStart"/>
      <w:r w:rsidR="00C75E85">
        <w:rPr>
          <w:lang w:val="ru-RU"/>
        </w:rPr>
        <w:t>сумі</w:t>
      </w:r>
      <w:proofErr w:type="spellEnd"/>
      <w:r w:rsidR="00C75E85">
        <w:rPr>
          <w:lang w:val="ru-RU"/>
        </w:rPr>
        <w:t xml:space="preserve"> – 29,3 </w:t>
      </w:r>
      <w:proofErr w:type="spellStart"/>
      <w:r w:rsidR="00C75E85">
        <w:rPr>
          <w:lang w:val="ru-RU"/>
        </w:rPr>
        <w:t>тис.грн</w:t>
      </w:r>
      <w:proofErr w:type="spellEnd"/>
      <w:r w:rsidR="00C75E85">
        <w:rPr>
          <w:lang w:val="ru-RU"/>
        </w:rPr>
        <w:t>.,</w:t>
      </w:r>
    </w:p>
    <w:p w:rsidR="00104EAD" w:rsidRDefault="00C75E85" w:rsidP="00104EAD">
      <w:pPr>
        <w:pStyle w:val="a6"/>
        <w:rPr>
          <w:lang w:val="ru-RU"/>
        </w:rPr>
      </w:pPr>
      <w:r>
        <w:rPr>
          <w:lang w:val="ru-RU"/>
        </w:rPr>
        <w:t xml:space="preserve"> </w:t>
      </w:r>
      <w:r w:rsidR="00104EAD">
        <w:rPr>
          <w:lang w:val="ru-RU"/>
        </w:rPr>
        <w:t xml:space="preserve">- з </w:t>
      </w:r>
      <w:proofErr w:type="spellStart"/>
      <w:r w:rsidR="00104EAD">
        <w:rPr>
          <w:lang w:val="ru-RU"/>
        </w:rPr>
        <w:t>власних</w:t>
      </w:r>
      <w:proofErr w:type="spellEnd"/>
      <w:r w:rsidR="00104EAD">
        <w:rPr>
          <w:lang w:val="ru-RU"/>
        </w:rPr>
        <w:t xml:space="preserve"> </w:t>
      </w:r>
      <w:proofErr w:type="spellStart"/>
      <w:proofErr w:type="gramStart"/>
      <w:r w:rsidR="00104EAD">
        <w:rPr>
          <w:lang w:val="ru-RU"/>
        </w:rPr>
        <w:t>надходжень</w:t>
      </w:r>
      <w:proofErr w:type="spellEnd"/>
      <w:r w:rsidR="00104EAD">
        <w:rPr>
          <w:lang w:val="ru-RU"/>
        </w:rPr>
        <w:t xml:space="preserve">  </w:t>
      </w:r>
      <w:proofErr w:type="spellStart"/>
      <w:r w:rsidR="00104EAD">
        <w:rPr>
          <w:lang w:val="ru-RU"/>
        </w:rPr>
        <w:t>бюджетних</w:t>
      </w:r>
      <w:proofErr w:type="spellEnd"/>
      <w:proofErr w:type="gramEnd"/>
      <w:r w:rsidR="00104EAD">
        <w:rPr>
          <w:lang w:val="ru-RU"/>
        </w:rPr>
        <w:t xml:space="preserve"> </w:t>
      </w:r>
      <w:proofErr w:type="spellStart"/>
      <w:r w:rsidR="00104EAD">
        <w:rPr>
          <w:lang w:val="ru-RU"/>
        </w:rPr>
        <w:t>установ</w:t>
      </w:r>
      <w:proofErr w:type="spellEnd"/>
      <w:r w:rsidR="00104EAD">
        <w:rPr>
          <w:lang w:val="ru-RU"/>
        </w:rPr>
        <w:t xml:space="preserve"> (</w:t>
      </w:r>
      <w:proofErr w:type="spellStart"/>
      <w:r w:rsidR="00104EAD">
        <w:rPr>
          <w:lang w:val="ru-RU"/>
        </w:rPr>
        <w:t>кошти</w:t>
      </w:r>
      <w:proofErr w:type="spellEnd"/>
      <w:r w:rsidR="00104EAD">
        <w:rPr>
          <w:lang w:val="ru-RU"/>
        </w:rPr>
        <w:t xml:space="preserve"> </w:t>
      </w:r>
      <w:proofErr w:type="spellStart"/>
      <w:r w:rsidR="00104EAD">
        <w:rPr>
          <w:lang w:val="ru-RU"/>
        </w:rPr>
        <w:t>батьківської</w:t>
      </w:r>
      <w:proofErr w:type="spellEnd"/>
      <w:r w:rsidR="00104EAD">
        <w:rPr>
          <w:lang w:val="ru-RU"/>
        </w:rPr>
        <w:t xml:space="preserve"> плати за </w:t>
      </w:r>
      <w:proofErr w:type="spellStart"/>
      <w:r w:rsidR="00104EAD">
        <w:rPr>
          <w:lang w:val="ru-RU"/>
        </w:rPr>
        <w:t>харчування</w:t>
      </w:r>
      <w:proofErr w:type="spellEnd"/>
      <w:r w:rsidR="00104EAD">
        <w:rPr>
          <w:lang w:val="ru-RU"/>
        </w:rPr>
        <w:t xml:space="preserve"> </w:t>
      </w:r>
      <w:proofErr w:type="spellStart"/>
      <w:r w:rsidR="00104EAD">
        <w:rPr>
          <w:lang w:val="ru-RU"/>
        </w:rPr>
        <w:t>дітей</w:t>
      </w:r>
      <w:proofErr w:type="spellEnd"/>
      <w:r w:rsidR="00104EAD">
        <w:rPr>
          <w:lang w:val="ru-RU"/>
        </w:rPr>
        <w:t xml:space="preserve">) </w:t>
      </w:r>
      <w:proofErr w:type="spellStart"/>
      <w:r w:rsidR="00104EAD">
        <w:rPr>
          <w:lang w:val="ru-RU"/>
        </w:rPr>
        <w:t>оплачені</w:t>
      </w:r>
      <w:proofErr w:type="spellEnd"/>
      <w:r w:rsidR="00104EAD">
        <w:rPr>
          <w:lang w:val="ru-RU"/>
        </w:rPr>
        <w:t xml:space="preserve"> </w:t>
      </w:r>
      <w:proofErr w:type="spellStart"/>
      <w:r w:rsidR="00104EAD">
        <w:rPr>
          <w:lang w:val="ru-RU"/>
        </w:rPr>
        <w:t>продукти</w:t>
      </w:r>
      <w:proofErr w:type="spellEnd"/>
      <w:r w:rsidR="00104EAD">
        <w:rPr>
          <w:lang w:val="ru-RU"/>
        </w:rPr>
        <w:t xml:space="preserve"> </w:t>
      </w:r>
      <w:proofErr w:type="spellStart"/>
      <w:r w:rsidR="00104EAD">
        <w:rPr>
          <w:lang w:val="ru-RU"/>
        </w:rPr>
        <w:t>харчування</w:t>
      </w:r>
      <w:proofErr w:type="spellEnd"/>
      <w:r w:rsidR="00104EAD">
        <w:rPr>
          <w:lang w:val="ru-RU"/>
        </w:rPr>
        <w:t xml:space="preserve"> для </w:t>
      </w:r>
      <w:proofErr w:type="spellStart"/>
      <w:r w:rsidR="00104EAD">
        <w:rPr>
          <w:lang w:val="ru-RU"/>
        </w:rPr>
        <w:t>дитячих</w:t>
      </w:r>
      <w:proofErr w:type="spellEnd"/>
      <w:r w:rsidR="00104EAD">
        <w:rPr>
          <w:lang w:val="ru-RU"/>
        </w:rPr>
        <w:t xml:space="preserve"> </w:t>
      </w:r>
      <w:proofErr w:type="spellStart"/>
      <w:r w:rsidR="00104EAD">
        <w:rPr>
          <w:lang w:val="ru-RU"/>
        </w:rPr>
        <w:t>навчальних</w:t>
      </w:r>
      <w:proofErr w:type="spellEnd"/>
      <w:r w:rsidR="00104EAD">
        <w:rPr>
          <w:lang w:val="ru-RU"/>
        </w:rPr>
        <w:t xml:space="preserve"> </w:t>
      </w:r>
      <w:proofErr w:type="spellStart"/>
      <w:r w:rsidR="00104EAD">
        <w:rPr>
          <w:lang w:val="ru-RU"/>
        </w:rPr>
        <w:t>закладів</w:t>
      </w:r>
      <w:proofErr w:type="spellEnd"/>
      <w:r w:rsidR="00104EAD">
        <w:rPr>
          <w:lang w:val="ru-RU"/>
        </w:rPr>
        <w:t xml:space="preserve"> в </w:t>
      </w:r>
      <w:proofErr w:type="spellStart"/>
      <w:r w:rsidR="00104EAD">
        <w:rPr>
          <w:lang w:val="ru-RU"/>
        </w:rPr>
        <w:t>сумі</w:t>
      </w:r>
      <w:proofErr w:type="spellEnd"/>
      <w:r w:rsidR="00104EAD">
        <w:rPr>
          <w:lang w:val="ru-RU"/>
        </w:rPr>
        <w:t xml:space="preserve"> – 290,5 </w:t>
      </w:r>
      <w:proofErr w:type="spellStart"/>
      <w:r w:rsidR="00104EAD">
        <w:rPr>
          <w:lang w:val="ru-RU"/>
        </w:rPr>
        <w:t>тис.грн</w:t>
      </w:r>
      <w:proofErr w:type="spellEnd"/>
      <w:r w:rsidR="00104EAD">
        <w:rPr>
          <w:lang w:val="ru-RU"/>
        </w:rPr>
        <w:t>.,</w:t>
      </w:r>
    </w:p>
    <w:p w:rsidR="00104EAD" w:rsidRDefault="00104EAD" w:rsidP="00AA4B70">
      <w:pPr>
        <w:pStyle w:val="a6"/>
        <w:rPr>
          <w:lang w:val="ru-RU"/>
        </w:rPr>
      </w:pPr>
      <w:r>
        <w:rPr>
          <w:lang w:val="ru-RU"/>
        </w:rPr>
        <w:t xml:space="preserve">- </w:t>
      </w:r>
      <w:r w:rsidR="00AA4B70">
        <w:rPr>
          <w:lang w:val="ru-RU"/>
        </w:rPr>
        <w:t xml:space="preserve">з </w:t>
      </w:r>
      <w:proofErr w:type="spellStart"/>
      <w:r>
        <w:rPr>
          <w:lang w:val="ru-RU"/>
        </w:rPr>
        <w:t>власних</w:t>
      </w:r>
      <w:proofErr w:type="spellEnd"/>
      <w:r>
        <w:rPr>
          <w:lang w:val="ru-RU"/>
        </w:rPr>
        <w:t xml:space="preserve"> </w:t>
      </w:r>
      <w:proofErr w:type="spellStart"/>
      <w:r>
        <w:rPr>
          <w:lang w:val="ru-RU"/>
        </w:rPr>
        <w:t>надходжень</w:t>
      </w:r>
      <w:proofErr w:type="spellEnd"/>
      <w:r>
        <w:rPr>
          <w:lang w:val="ru-RU"/>
        </w:rPr>
        <w:t xml:space="preserve"> </w:t>
      </w:r>
      <w:proofErr w:type="spellStart"/>
      <w:r>
        <w:rPr>
          <w:lang w:val="ru-RU"/>
        </w:rPr>
        <w:t>бюджетних</w:t>
      </w:r>
      <w:proofErr w:type="spellEnd"/>
      <w:r>
        <w:rPr>
          <w:lang w:val="ru-RU"/>
        </w:rPr>
        <w:t xml:space="preserve"> </w:t>
      </w:r>
      <w:proofErr w:type="spellStart"/>
      <w:r>
        <w:rPr>
          <w:lang w:val="ru-RU"/>
        </w:rPr>
        <w:t>устан</w:t>
      </w:r>
      <w:r w:rsidR="00AA4B70">
        <w:rPr>
          <w:lang w:val="ru-RU"/>
        </w:rPr>
        <w:t>ов</w:t>
      </w:r>
      <w:proofErr w:type="spellEnd"/>
      <w:r w:rsidR="00AA4B70">
        <w:rPr>
          <w:lang w:val="ru-RU"/>
        </w:rPr>
        <w:t xml:space="preserve"> </w:t>
      </w:r>
      <w:proofErr w:type="gramStart"/>
      <w:r w:rsidR="00AA4B70">
        <w:rPr>
          <w:lang w:val="ru-RU"/>
        </w:rPr>
        <w:t xml:space="preserve">( </w:t>
      </w:r>
      <w:proofErr w:type="spellStart"/>
      <w:r w:rsidR="00AA4B70">
        <w:rPr>
          <w:lang w:val="ru-RU"/>
        </w:rPr>
        <w:t>кошти</w:t>
      </w:r>
      <w:proofErr w:type="spellEnd"/>
      <w:proofErr w:type="gramEnd"/>
      <w:r>
        <w:rPr>
          <w:lang w:val="ru-RU"/>
        </w:rPr>
        <w:t xml:space="preserve"> за </w:t>
      </w:r>
      <w:proofErr w:type="spellStart"/>
      <w:r>
        <w:rPr>
          <w:lang w:val="ru-RU"/>
        </w:rPr>
        <w:t>н</w:t>
      </w:r>
      <w:r w:rsidR="00AA4B70">
        <w:rPr>
          <w:lang w:val="ru-RU"/>
        </w:rPr>
        <w:t>авчання</w:t>
      </w:r>
      <w:proofErr w:type="spellEnd"/>
      <w:r w:rsidR="00AA4B70">
        <w:rPr>
          <w:lang w:val="ru-RU"/>
        </w:rPr>
        <w:t xml:space="preserve"> </w:t>
      </w:r>
      <w:proofErr w:type="spellStart"/>
      <w:r w:rsidR="00AA4B70">
        <w:rPr>
          <w:lang w:val="ru-RU"/>
        </w:rPr>
        <w:t>дітей</w:t>
      </w:r>
      <w:proofErr w:type="spellEnd"/>
      <w:r w:rsidR="00AA4B70">
        <w:rPr>
          <w:lang w:val="ru-RU"/>
        </w:rPr>
        <w:t xml:space="preserve">) </w:t>
      </w:r>
      <w:proofErr w:type="spellStart"/>
      <w:r w:rsidR="00AA4B70">
        <w:rPr>
          <w:lang w:val="ru-RU"/>
        </w:rPr>
        <w:t>виплачена</w:t>
      </w:r>
      <w:proofErr w:type="spellEnd"/>
      <w:r w:rsidR="00AA4B70">
        <w:rPr>
          <w:lang w:val="ru-RU"/>
        </w:rPr>
        <w:t xml:space="preserve"> </w:t>
      </w:r>
      <w:proofErr w:type="spellStart"/>
      <w:r w:rsidR="00AA4B70">
        <w:rPr>
          <w:lang w:val="ru-RU"/>
        </w:rPr>
        <w:t>заробітна</w:t>
      </w:r>
      <w:proofErr w:type="spellEnd"/>
      <w:r w:rsidR="00AA4B70">
        <w:rPr>
          <w:lang w:val="ru-RU"/>
        </w:rPr>
        <w:t xml:space="preserve"> плата і </w:t>
      </w:r>
      <w:proofErr w:type="spellStart"/>
      <w:r w:rsidR="00AA4B70">
        <w:rPr>
          <w:lang w:val="ru-RU"/>
        </w:rPr>
        <w:t>нарахування</w:t>
      </w:r>
      <w:proofErr w:type="spellEnd"/>
      <w:r w:rsidR="00AA4B70">
        <w:rPr>
          <w:lang w:val="ru-RU"/>
        </w:rPr>
        <w:t xml:space="preserve"> в </w:t>
      </w:r>
      <w:proofErr w:type="spellStart"/>
      <w:r w:rsidR="00AA4B70">
        <w:rPr>
          <w:lang w:val="ru-RU"/>
        </w:rPr>
        <w:t>сумі</w:t>
      </w:r>
      <w:proofErr w:type="spellEnd"/>
      <w:r w:rsidR="00AA4B70">
        <w:rPr>
          <w:lang w:val="ru-RU"/>
        </w:rPr>
        <w:t xml:space="preserve"> – 127,5 тис. грн.</w:t>
      </w:r>
    </w:p>
    <w:p w:rsidR="008C5B8D" w:rsidRDefault="008C5B8D" w:rsidP="00AA4B70">
      <w:pPr>
        <w:pStyle w:val="a6"/>
        <w:rPr>
          <w:lang w:val="ru-RU"/>
        </w:rPr>
      </w:pPr>
      <w:proofErr w:type="spellStart"/>
      <w:r>
        <w:rPr>
          <w:lang w:val="ru-RU"/>
        </w:rPr>
        <w:t>Інша</w:t>
      </w:r>
      <w:proofErr w:type="spellEnd"/>
      <w:r>
        <w:rPr>
          <w:lang w:val="ru-RU"/>
        </w:rPr>
        <w:t xml:space="preserve"> </w:t>
      </w:r>
      <w:proofErr w:type="spellStart"/>
      <w:r>
        <w:rPr>
          <w:lang w:val="ru-RU"/>
        </w:rPr>
        <w:t>субвенція</w:t>
      </w:r>
      <w:proofErr w:type="spellEnd"/>
      <w:r>
        <w:rPr>
          <w:lang w:val="ru-RU"/>
        </w:rPr>
        <w:t xml:space="preserve"> з </w:t>
      </w:r>
      <w:proofErr w:type="spellStart"/>
      <w:r>
        <w:rPr>
          <w:lang w:val="ru-RU"/>
        </w:rPr>
        <w:t>місцевого</w:t>
      </w:r>
      <w:proofErr w:type="spellEnd"/>
      <w:r>
        <w:rPr>
          <w:lang w:val="ru-RU"/>
        </w:rPr>
        <w:t xml:space="preserve"> бюджету на:</w:t>
      </w:r>
    </w:p>
    <w:p w:rsidR="008C5B8D" w:rsidRDefault="008C5B8D" w:rsidP="00AA4B70">
      <w:pPr>
        <w:pStyle w:val="a6"/>
        <w:rPr>
          <w:lang w:val="ru-RU"/>
        </w:rPr>
      </w:pPr>
      <w:r>
        <w:rPr>
          <w:lang w:val="ru-RU"/>
        </w:rPr>
        <w:t xml:space="preserve">- </w:t>
      </w:r>
      <w:proofErr w:type="spellStart"/>
      <w:r>
        <w:rPr>
          <w:lang w:val="ru-RU"/>
        </w:rPr>
        <w:t>капітальний</w:t>
      </w:r>
      <w:proofErr w:type="spellEnd"/>
      <w:r>
        <w:rPr>
          <w:lang w:val="ru-RU"/>
        </w:rPr>
        <w:t xml:space="preserve"> ремонт </w:t>
      </w:r>
      <w:proofErr w:type="spellStart"/>
      <w:r>
        <w:rPr>
          <w:lang w:val="ru-RU"/>
        </w:rPr>
        <w:t>амбулаторії</w:t>
      </w:r>
      <w:proofErr w:type="spellEnd"/>
      <w:r>
        <w:rPr>
          <w:lang w:val="ru-RU"/>
        </w:rPr>
        <w:t xml:space="preserve"> </w:t>
      </w:r>
      <w:proofErr w:type="spellStart"/>
      <w:r>
        <w:rPr>
          <w:lang w:val="ru-RU"/>
        </w:rPr>
        <w:t>загальної</w:t>
      </w:r>
      <w:proofErr w:type="spellEnd"/>
      <w:r>
        <w:rPr>
          <w:lang w:val="ru-RU"/>
        </w:rPr>
        <w:t xml:space="preserve"> практики </w:t>
      </w:r>
      <w:proofErr w:type="spellStart"/>
      <w:r>
        <w:rPr>
          <w:lang w:val="ru-RU"/>
        </w:rPr>
        <w:t>сімейної</w:t>
      </w:r>
      <w:proofErr w:type="spellEnd"/>
      <w:r>
        <w:rPr>
          <w:lang w:val="ru-RU"/>
        </w:rPr>
        <w:t xml:space="preserve"> </w:t>
      </w:r>
      <w:proofErr w:type="spellStart"/>
      <w:r>
        <w:rPr>
          <w:lang w:val="ru-RU"/>
        </w:rPr>
        <w:t>медицини</w:t>
      </w:r>
      <w:proofErr w:type="spellEnd"/>
      <w:r>
        <w:rPr>
          <w:lang w:val="ru-RU"/>
        </w:rPr>
        <w:t xml:space="preserve"> в </w:t>
      </w:r>
      <w:proofErr w:type="spellStart"/>
      <w:r>
        <w:rPr>
          <w:lang w:val="ru-RU"/>
        </w:rPr>
        <w:t>с.Луг</w:t>
      </w:r>
      <w:proofErr w:type="spellEnd"/>
      <w:r>
        <w:rPr>
          <w:lang w:val="ru-RU"/>
        </w:rPr>
        <w:t xml:space="preserve">, </w:t>
      </w:r>
      <w:proofErr w:type="spellStart"/>
      <w:r>
        <w:rPr>
          <w:lang w:val="ru-RU"/>
        </w:rPr>
        <w:t>Рахівського</w:t>
      </w:r>
      <w:proofErr w:type="spellEnd"/>
      <w:r>
        <w:rPr>
          <w:lang w:val="ru-RU"/>
        </w:rPr>
        <w:t xml:space="preserve"> району в </w:t>
      </w:r>
      <w:proofErr w:type="spellStart"/>
      <w:r>
        <w:rPr>
          <w:lang w:val="ru-RU"/>
        </w:rPr>
        <w:t>сумі</w:t>
      </w:r>
      <w:proofErr w:type="spellEnd"/>
      <w:r>
        <w:rPr>
          <w:lang w:val="ru-RU"/>
        </w:rPr>
        <w:t xml:space="preserve"> -118,6 </w:t>
      </w:r>
      <w:proofErr w:type="spellStart"/>
      <w:r>
        <w:rPr>
          <w:lang w:val="ru-RU"/>
        </w:rPr>
        <w:t>тис.грн</w:t>
      </w:r>
      <w:proofErr w:type="spellEnd"/>
      <w:r>
        <w:rPr>
          <w:lang w:val="ru-RU"/>
        </w:rPr>
        <w:t>,</w:t>
      </w:r>
    </w:p>
    <w:p w:rsidR="008C5B8D" w:rsidRDefault="008C5B8D" w:rsidP="00AA4B70">
      <w:pPr>
        <w:pStyle w:val="a6"/>
        <w:rPr>
          <w:lang w:val="ru-RU"/>
        </w:rPr>
      </w:pPr>
      <w:r>
        <w:rPr>
          <w:lang w:val="ru-RU"/>
        </w:rPr>
        <w:t xml:space="preserve">- </w:t>
      </w:r>
      <w:proofErr w:type="spellStart"/>
      <w:r>
        <w:rPr>
          <w:lang w:val="ru-RU"/>
        </w:rPr>
        <w:t>капітальний</w:t>
      </w:r>
      <w:proofErr w:type="spellEnd"/>
      <w:r>
        <w:rPr>
          <w:lang w:val="ru-RU"/>
        </w:rPr>
        <w:t xml:space="preserve"> ремонт </w:t>
      </w:r>
      <w:proofErr w:type="spellStart"/>
      <w:r>
        <w:rPr>
          <w:lang w:val="ru-RU"/>
        </w:rPr>
        <w:t>амбулаторії</w:t>
      </w:r>
      <w:proofErr w:type="spellEnd"/>
      <w:r>
        <w:rPr>
          <w:lang w:val="ru-RU"/>
        </w:rPr>
        <w:t xml:space="preserve"> в </w:t>
      </w:r>
      <w:proofErr w:type="spellStart"/>
      <w:r>
        <w:rPr>
          <w:lang w:val="ru-RU"/>
        </w:rPr>
        <w:t>смт</w:t>
      </w:r>
      <w:proofErr w:type="spellEnd"/>
      <w:r>
        <w:rPr>
          <w:lang w:val="ru-RU"/>
        </w:rPr>
        <w:t xml:space="preserve">. Великий </w:t>
      </w:r>
      <w:proofErr w:type="spellStart"/>
      <w:r>
        <w:rPr>
          <w:lang w:val="ru-RU"/>
        </w:rPr>
        <w:t>Бичків</w:t>
      </w:r>
      <w:proofErr w:type="spellEnd"/>
      <w:r>
        <w:rPr>
          <w:lang w:val="ru-RU"/>
        </w:rPr>
        <w:t xml:space="preserve"> КНП </w:t>
      </w:r>
      <w:proofErr w:type="spellStart"/>
      <w:r>
        <w:rPr>
          <w:lang w:val="ru-RU"/>
        </w:rPr>
        <w:t>Великобичківське</w:t>
      </w:r>
      <w:proofErr w:type="spellEnd"/>
      <w:r>
        <w:rPr>
          <w:lang w:val="ru-RU"/>
        </w:rPr>
        <w:t xml:space="preserve"> ЦПМСД в </w:t>
      </w:r>
      <w:proofErr w:type="spellStart"/>
      <w:r>
        <w:rPr>
          <w:lang w:val="ru-RU"/>
        </w:rPr>
        <w:t>сумі</w:t>
      </w:r>
      <w:proofErr w:type="spellEnd"/>
      <w:r>
        <w:rPr>
          <w:lang w:val="ru-RU"/>
        </w:rPr>
        <w:t xml:space="preserve"> – 14,7 </w:t>
      </w:r>
      <w:proofErr w:type="spellStart"/>
      <w:r>
        <w:rPr>
          <w:lang w:val="ru-RU"/>
        </w:rPr>
        <w:t>тис.грн</w:t>
      </w:r>
      <w:proofErr w:type="spellEnd"/>
      <w:r>
        <w:rPr>
          <w:lang w:val="ru-RU"/>
        </w:rPr>
        <w:t xml:space="preserve">. </w:t>
      </w:r>
    </w:p>
    <w:p w:rsidR="00557640" w:rsidRPr="00104EAD" w:rsidRDefault="00557640" w:rsidP="00AA4B70">
      <w:pPr>
        <w:pStyle w:val="a6"/>
        <w:rPr>
          <w:lang w:val="ru-RU"/>
        </w:rPr>
      </w:pPr>
      <w:proofErr w:type="spellStart"/>
      <w:r>
        <w:rPr>
          <w:lang w:val="ru-RU"/>
        </w:rPr>
        <w:t>Субвенція</w:t>
      </w:r>
      <w:proofErr w:type="spellEnd"/>
      <w:r>
        <w:rPr>
          <w:lang w:val="ru-RU"/>
        </w:rPr>
        <w:t xml:space="preserve"> з </w:t>
      </w:r>
      <w:proofErr w:type="spellStart"/>
      <w:r>
        <w:rPr>
          <w:lang w:val="ru-RU"/>
        </w:rPr>
        <w:t>місцевого</w:t>
      </w:r>
      <w:proofErr w:type="spellEnd"/>
      <w:r>
        <w:rPr>
          <w:lang w:val="ru-RU"/>
        </w:rPr>
        <w:t xml:space="preserve"> бюджету державному бюджету на </w:t>
      </w:r>
      <w:proofErr w:type="spellStart"/>
      <w:r>
        <w:rPr>
          <w:lang w:val="ru-RU"/>
        </w:rPr>
        <w:t>виконання</w:t>
      </w:r>
      <w:proofErr w:type="spellEnd"/>
      <w:r>
        <w:rPr>
          <w:lang w:val="ru-RU"/>
        </w:rPr>
        <w:t xml:space="preserve"> </w:t>
      </w:r>
      <w:proofErr w:type="spellStart"/>
      <w:r>
        <w:rPr>
          <w:lang w:val="ru-RU"/>
        </w:rPr>
        <w:t>програм</w:t>
      </w:r>
      <w:proofErr w:type="spellEnd"/>
      <w:r>
        <w:rPr>
          <w:lang w:val="ru-RU"/>
        </w:rPr>
        <w:t xml:space="preserve"> </w:t>
      </w:r>
      <w:proofErr w:type="spellStart"/>
      <w:r>
        <w:rPr>
          <w:lang w:val="ru-RU"/>
        </w:rPr>
        <w:t>соціально-економічного</w:t>
      </w:r>
      <w:proofErr w:type="spellEnd"/>
      <w:r>
        <w:rPr>
          <w:lang w:val="ru-RU"/>
        </w:rPr>
        <w:t xml:space="preserve"> </w:t>
      </w:r>
      <w:proofErr w:type="spellStart"/>
      <w:r>
        <w:rPr>
          <w:lang w:val="ru-RU"/>
        </w:rPr>
        <w:t>розвитку</w:t>
      </w:r>
      <w:proofErr w:type="spellEnd"/>
      <w:r>
        <w:rPr>
          <w:lang w:val="ru-RU"/>
        </w:rPr>
        <w:t xml:space="preserve"> </w:t>
      </w:r>
      <w:proofErr w:type="spellStart"/>
      <w:r>
        <w:rPr>
          <w:lang w:val="ru-RU"/>
        </w:rPr>
        <w:t>регіонів</w:t>
      </w:r>
      <w:proofErr w:type="spellEnd"/>
      <w:r>
        <w:rPr>
          <w:lang w:val="ru-RU"/>
        </w:rPr>
        <w:t xml:space="preserve"> – 25,0 тис. грн.</w:t>
      </w:r>
    </w:p>
    <w:p w:rsidR="00AA4B70" w:rsidRPr="008C5B8D" w:rsidRDefault="005E0CD4" w:rsidP="008C5B8D">
      <w:pPr>
        <w:pStyle w:val="210"/>
        <w:ind w:left="-142"/>
        <w:rPr>
          <w:color w:val="000000" w:themeColor="text1"/>
          <w:szCs w:val="28"/>
        </w:rPr>
      </w:pPr>
      <w:r w:rsidRPr="00AA4B70">
        <w:rPr>
          <w:color w:val="000000" w:themeColor="text1"/>
          <w:szCs w:val="28"/>
        </w:rPr>
        <w:t xml:space="preserve">Дебіторська та кредиторська заборгованість по </w:t>
      </w:r>
      <w:r w:rsidRPr="00AA4B70">
        <w:rPr>
          <w:bCs/>
          <w:color w:val="000000" w:themeColor="text1"/>
          <w:szCs w:val="28"/>
        </w:rPr>
        <w:t>загальному та спеціальному фондах</w:t>
      </w:r>
      <w:r w:rsidR="003B23F2" w:rsidRPr="00AA4B70">
        <w:rPr>
          <w:color w:val="000000" w:themeColor="text1"/>
          <w:szCs w:val="28"/>
        </w:rPr>
        <w:t xml:space="preserve">  станом на 1 липня</w:t>
      </w:r>
      <w:r w:rsidRPr="00AA4B70">
        <w:rPr>
          <w:color w:val="000000" w:themeColor="text1"/>
          <w:szCs w:val="28"/>
        </w:rPr>
        <w:t xml:space="preserve">  2021 року відсутня.</w:t>
      </w:r>
    </w:p>
    <w:p w:rsidR="005E0CD4" w:rsidRDefault="005E0CD4" w:rsidP="005E0CD4">
      <w:pPr>
        <w:pStyle w:val="210"/>
        <w:ind w:firstLine="0"/>
      </w:pPr>
    </w:p>
    <w:p w:rsidR="0089254C" w:rsidRPr="00305F28" w:rsidRDefault="0089254C" w:rsidP="005E0CD4">
      <w:pPr>
        <w:pStyle w:val="210"/>
        <w:ind w:firstLine="0"/>
      </w:pPr>
      <w:bookmarkStart w:id="0" w:name="_GoBack"/>
      <w:bookmarkEnd w:id="0"/>
    </w:p>
    <w:p w:rsidR="005E0CD4" w:rsidRPr="00305F28" w:rsidRDefault="005E0CD4" w:rsidP="00C75E85">
      <w:pPr>
        <w:pStyle w:val="210"/>
        <w:ind w:firstLine="0"/>
        <w:rPr>
          <w:b/>
        </w:rPr>
      </w:pPr>
      <w:r w:rsidRPr="00305F28">
        <w:rPr>
          <w:b/>
        </w:rPr>
        <w:t>Начальник фінансового</w:t>
      </w:r>
      <w:r w:rsidR="003B23F2">
        <w:rPr>
          <w:b/>
        </w:rPr>
        <w:t xml:space="preserve"> відділу                                    Мар'яна </w:t>
      </w:r>
      <w:proofErr w:type="spellStart"/>
      <w:r w:rsidR="003B23F2">
        <w:rPr>
          <w:b/>
        </w:rPr>
        <w:t>Чічак</w:t>
      </w:r>
      <w:proofErr w:type="spellEnd"/>
      <w:r>
        <w:rPr>
          <w:b/>
        </w:rPr>
        <w:t xml:space="preserve">                                                 </w:t>
      </w:r>
    </w:p>
    <w:sectPr w:rsidR="005E0CD4" w:rsidRPr="00305F28" w:rsidSect="00DF49DD">
      <w:headerReference w:type="even" r:id="rId11"/>
      <w:headerReference w:type="default" r:id="rId12"/>
      <w:pgSz w:w="11906" w:h="16838"/>
      <w:pgMar w:top="1134" w:right="567" w:bottom="1021" w:left="1701" w:header="709" w:footer="709"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BF" w:rsidRDefault="006B68BF">
      <w:r>
        <w:separator/>
      </w:r>
    </w:p>
  </w:endnote>
  <w:endnote w:type="continuationSeparator" w:id="0">
    <w:p w:rsidR="006B68BF" w:rsidRDefault="006B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BF" w:rsidRDefault="006B68BF">
      <w:r>
        <w:separator/>
      </w:r>
    </w:p>
  </w:footnote>
  <w:footnote w:type="continuationSeparator" w:id="0">
    <w:p w:rsidR="006B68BF" w:rsidRDefault="006B6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52" w:rsidRDefault="004F4520" w:rsidP="00113F6C">
    <w:pPr>
      <w:pStyle w:val="ab"/>
      <w:framePr w:wrap="around" w:vAnchor="text" w:hAnchor="margin" w:xAlign="center" w:y="1"/>
      <w:rPr>
        <w:rStyle w:val="ac"/>
      </w:rPr>
    </w:pPr>
    <w:r>
      <w:rPr>
        <w:rStyle w:val="ac"/>
      </w:rPr>
      <w:fldChar w:fldCharType="begin"/>
    </w:r>
    <w:r w:rsidR="00DE2852">
      <w:rPr>
        <w:rStyle w:val="ac"/>
      </w:rPr>
      <w:instrText xml:space="preserve">PAGE  </w:instrText>
    </w:r>
    <w:r>
      <w:rPr>
        <w:rStyle w:val="ac"/>
      </w:rPr>
      <w:fldChar w:fldCharType="end"/>
    </w:r>
  </w:p>
  <w:p w:rsidR="00DE2852" w:rsidRDefault="00DE2852" w:rsidP="00113F6C">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52" w:rsidRDefault="004F4520" w:rsidP="00113F6C">
    <w:pPr>
      <w:pStyle w:val="ab"/>
      <w:framePr w:wrap="around" w:vAnchor="text" w:hAnchor="margin" w:xAlign="center" w:y="1"/>
      <w:rPr>
        <w:rStyle w:val="ac"/>
      </w:rPr>
    </w:pPr>
    <w:r>
      <w:rPr>
        <w:rStyle w:val="ac"/>
      </w:rPr>
      <w:fldChar w:fldCharType="begin"/>
    </w:r>
    <w:r w:rsidR="00DE2852">
      <w:rPr>
        <w:rStyle w:val="ac"/>
      </w:rPr>
      <w:instrText xml:space="preserve">PAGE  </w:instrText>
    </w:r>
    <w:r>
      <w:rPr>
        <w:rStyle w:val="ac"/>
      </w:rPr>
      <w:fldChar w:fldCharType="separate"/>
    </w:r>
    <w:r w:rsidR="0089254C">
      <w:rPr>
        <w:rStyle w:val="ac"/>
        <w:noProof/>
      </w:rPr>
      <w:t>7</w:t>
    </w:r>
    <w:r>
      <w:rPr>
        <w:rStyle w:val="ac"/>
      </w:rPr>
      <w:fldChar w:fldCharType="end"/>
    </w:r>
  </w:p>
  <w:p w:rsidR="00DE2852" w:rsidRDefault="00DE2852" w:rsidP="00113F6C">
    <w:pPr>
      <w:pStyle w:val="ab"/>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2A341F"/>
    <w:multiLevelType w:val="hybridMultilevel"/>
    <w:tmpl w:val="E02EFD94"/>
    <w:lvl w:ilvl="0" w:tplc="9E50FD3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4B11071A"/>
    <w:multiLevelType w:val="hybridMultilevel"/>
    <w:tmpl w:val="E8EC6A44"/>
    <w:lvl w:ilvl="0" w:tplc="5A968A9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65"/>
    <w:rsid w:val="000155F2"/>
    <w:rsid w:val="0003519D"/>
    <w:rsid w:val="00065227"/>
    <w:rsid w:val="00070B6B"/>
    <w:rsid w:val="00096C83"/>
    <w:rsid w:val="000A1536"/>
    <w:rsid w:val="000C308C"/>
    <w:rsid w:val="000C414F"/>
    <w:rsid w:val="000D4C32"/>
    <w:rsid w:val="00104EAD"/>
    <w:rsid w:val="00113AC0"/>
    <w:rsid w:val="00113F6C"/>
    <w:rsid w:val="001328F7"/>
    <w:rsid w:val="00132DF4"/>
    <w:rsid w:val="00152CD1"/>
    <w:rsid w:val="001A33DD"/>
    <w:rsid w:val="001A5C9F"/>
    <w:rsid w:val="001A64FB"/>
    <w:rsid w:val="001B5A13"/>
    <w:rsid w:val="001C2C39"/>
    <w:rsid w:val="001F1860"/>
    <w:rsid w:val="00210330"/>
    <w:rsid w:val="00237797"/>
    <w:rsid w:val="0023796B"/>
    <w:rsid w:val="00237C87"/>
    <w:rsid w:val="00241818"/>
    <w:rsid w:val="002427D0"/>
    <w:rsid w:val="00245FD1"/>
    <w:rsid w:val="00247B74"/>
    <w:rsid w:val="00250709"/>
    <w:rsid w:val="00254054"/>
    <w:rsid w:val="00255059"/>
    <w:rsid w:val="002A09FF"/>
    <w:rsid w:val="00303D41"/>
    <w:rsid w:val="00305F28"/>
    <w:rsid w:val="00315430"/>
    <w:rsid w:val="00317561"/>
    <w:rsid w:val="003209CB"/>
    <w:rsid w:val="00327BB1"/>
    <w:rsid w:val="0033396B"/>
    <w:rsid w:val="00372AFB"/>
    <w:rsid w:val="00387A67"/>
    <w:rsid w:val="00391B8E"/>
    <w:rsid w:val="003A6556"/>
    <w:rsid w:val="003A6A5A"/>
    <w:rsid w:val="003B23F2"/>
    <w:rsid w:val="003B7AAC"/>
    <w:rsid w:val="003C0903"/>
    <w:rsid w:val="003C21EF"/>
    <w:rsid w:val="003C71C6"/>
    <w:rsid w:val="003E161A"/>
    <w:rsid w:val="00406D1B"/>
    <w:rsid w:val="00411502"/>
    <w:rsid w:val="00412A0D"/>
    <w:rsid w:val="004130CC"/>
    <w:rsid w:val="0041736B"/>
    <w:rsid w:val="004431F2"/>
    <w:rsid w:val="0045587F"/>
    <w:rsid w:val="0046120E"/>
    <w:rsid w:val="00467182"/>
    <w:rsid w:val="00484CE0"/>
    <w:rsid w:val="004A2AA1"/>
    <w:rsid w:val="004B5188"/>
    <w:rsid w:val="004E0BF9"/>
    <w:rsid w:val="004F4273"/>
    <w:rsid w:val="004F4520"/>
    <w:rsid w:val="004F7F1F"/>
    <w:rsid w:val="005028D0"/>
    <w:rsid w:val="00523840"/>
    <w:rsid w:val="00524BF7"/>
    <w:rsid w:val="00546636"/>
    <w:rsid w:val="005504D6"/>
    <w:rsid w:val="0055153B"/>
    <w:rsid w:val="00551758"/>
    <w:rsid w:val="00557640"/>
    <w:rsid w:val="005674F3"/>
    <w:rsid w:val="005876B7"/>
    <w:rsid w:val="0059474F"/>
    <w:rsid w:val="005954B1"/>
    <w:rsid w:val="00595EFC"/>
    <w:rsid w:val="005A033E"/>
    <w:rsid w:val="005A452A"/>
    <w:rsid w:val="005A75AB"/>
    <w:rsid w:val="005B0085"/>
    <w:rsid w:val="005C2235"/>
    <w:rsid w:val="005C61DF"/>
    <w:rsid w:val="005D1561"/>
    <w:rsid w:val="005E0CD4"/>
    <w:rsid w:val="006230B8"/>
    <w:rsid w:val="00625DB8"/>
    <w:rsid w:val="00632E0E"/>
    <w:rsid w:val="00680377"/>
    <w:rsid w:val="00682052"/>
    <w:rsid w:val="006A4AF3"/>
    <w:rsid w:val="006B074A"/>
    <w:rsid w:val="006B32BA"/>
    <w:rsid w:val="006B68BF"/>
    <w:rsid w:val="006B6CBA"/>
    <w:rsid w:val="006E3122"/>
    <w:rsid w:val="006E3642"/>
    <w:rsid w:val="006E43E0"/>
    <w:rsid w:val="006F2FB3"/>
    <w:rsid w:val="007148E9"/>
    <w:rsid w:val="00716E38"/>
    <w:rsid w:val="00725039"/>
    <w:rsid w:val="007263E4"/>
    <w:rsid w:val="00744BBF"/>
    <w:rsid w:val="0075590A"/>
    <w:rsid w:val="007559B8"/>
    <w:rsid w:val="007607C4"/>
    <w:rsid w:val="00762207"/>
    <w:rsid w:val="00763CE3"/>
    <w:rsid w:val="00784BCB"/>
    <w:rsid w:val="00787A4C"/>
    <w:rsid w:val="00791B80"/>
    <w:rsid w:val="00795F8E"/>
    <w:rsid w:val="00797CFB"/>
    <w:rsid w:val="007B025D"/>
    <w:rsid w:val="007B5EE2"/>
    <w:rsid w:val="007C6AD9"/>
    <w:rsid w:val="007D5ABB"/>
    <w:rsid w:val="007D763C"/>
    <w:rsid w:val="007E1AE6"/>
    <w:rsid w:val="007E5A82"/>
    <w:rsid w:val="007F4505"/>
    <w:rsid w:val="00801D92"/>
    <w:rsid w:val="008138C7"/>
    <w:rsid w:val="008326C0"/>
    <w:rsid w:val="00867AB2"/>
    <w:rsid w:val="0087494B"/>
    <w:rsid w:val="0089254C"/>
    <w:rsid w:val="008B2216"/>
    <w:rsid w:val="008C5B8D"/>
    <w:rsid w:val="008D0634"/>
    <w:rsid w:val="008D1D07"/>
    <w:rsid w:val="008E0465"/>
    <w:rsid w:val="008E37FA"/>
    <w:rsid w:val="008F4268"/>
    <w:rsid w:val="00915951"/>
    <w:rsid w:val="00923E73"/>
    <w:rsid w:val="00930F57"/>
    <w:rsid w:val="009361D0"/>
    <w:rsid w:val="00953A90"/>
    <w:rsid w:val="00957046"/>
    <w:rsid w:val="00977466"/>
    <w:rsid w:val="009774CC"/>
    <w:rsid w:val="00980C48"/>
    <w:rsid w:val="009968C2"/>
    <w:rsid w:val="009979E6"/>
    <w:rsid w:val="009A6408"/>
    <w:rsid w:val="009B21A1"/>
    <w:rsid w:val="009C6764"/>
    <w:rsid w:val="00A00C1B"/>
    <w:rsid w:val="00A07458"/>
    <w:rsid w:val="00A32537"/>
    <w:rsid w:val="00A4371A"/>
    <w:rsid w:val="00A459CB"/>
    <w:rsid w:val="00A64341"/>
    <w:rsid w:val="00A87F7A"/>
    <w:rsid w:val="00AA26C2"/>
    <w:rsid w:val="00AA4B70"/>
    <w:rsid w:val="00AB0154"/>
    <w:rsid w:val="00AB7AC1"/>
    <w:rsid w:val="00AC48CF"/>
    <w:rsid w:val="00AE178F"/>
    <w:rsid w:val="00AF2F85"/>
    <w:rsid w:val="00B033B1"/>
    <w:rsid w:val="00B2625B"/>
    <w:rsid w:val="00B271FD"/>
    <w:rsid w:val="00B361F9"/>
    <w:rsid w:val="00B40CAE"/>
    <w:rsid w:val="00B44661"/>
    <w:rsid w:val="00B50CEF"/>
    <w:rsid w:val="00B51AB9"/>
    <w:rsid w:val="00B60D21"/>
    <w:rsid w:val="00B702BD"/>
    <w:rsid w:val="00B863A0"/>
    <w:rsid w:val="00B90AD3"/>
    <w:rsid w:val="00B912C2"/>
    <w:rsid w:val="00B92908"/>
    <w:rsid w:val="00BB6E9A"/>
    <w:rsid w:val="00BB7412"/>
    <w:rsid w:val="00C11986"/>
    <w:rsid w:val="00C1432C"/>
    <w:rsid w:val="00C14FF2"/>
    <w:rsid w:val="00C16E64"/>
    <w:rsid w:val="00C27015"/>
    <w:rsid w:val="00C32B22"/>
    <w:rsid w:val="00C664BD"/>
    <w:rsid w:val="00C71773"/>
    <w:rsid w:val="00C75E85"/>
    <w:rsid w:val="00C7794E"/>
    <w:rsid w:val="00C82367"/>
    <w:rsid w:val="00CB7273"/>
    <w:rsid w:val="00CC1451"/>
    <w:rsid w:val="00CE1C9B"/>
    <w:rsid w:val="00D14715"/>
    <w:rsid w:val="00D32D91"/>
    <w:rsid w:val="00D5414F"/>
    <w:rsid w:val="00D55E9D"/>
    <w:rsid w:val="00D73699"/>
    <w:rsid w:val="00D80E7E"/>
    <w:rsid w:val="00D86322"/>
    <w:rsid w:val="00DA23B8"/>
    <w:rsid w:val="00DB45D5"/>
    <w:rsid w:val="00DB6F02"/>
    <w:rsid w:val="00DC72ED"/>
    <w:rsid w:val="00DE2852"/>
    <w:rsid w:val="00DF49DD"/>
    <w:rsid w:val="00E07067"/>
    <w:rsid w:val="00E07F73"/>
    <w:rsid w:val="00E40F2B"/>
    <w:rsid w:val="00E45A36"/>
    <w:rsid w:val="00E50AC4"/>
    <w:rsid w:val="00E552F8"/>
    <w:rsid w:val="00E575DD"/>
    <w:rsid w:val="00E57AEC"/>
    <w:rsid w:val="00E61503"/>
    <w:rsid w:val="00E76EFA"/>
    <w:rsid w:val="00E77F63"/>
    <w:rsid w:val="00E8435E"/>
    <w:rsid w:val="00EB33D1"/>
    <w:rsid w:val="00EB56D5"/>
    <w:rsid w:val="00EC27E5"/>
    <w:rsid w:val="00EE19AE"/>
    <w:rsid w:val="00EE289D"/>
    <w:rsid w:val="00EE4D67"/>
    <w:rsid w:val="00EE6FF1"/>
    <w:rsid w:val="00EE7F01"/>
    <w:rsid w:val="00EF0EA6"/>
    <w:rsid w:val="00EF4FFD"/>
    <w:rsid w:val="00F11AF9"/>
    <w:rsid w:val="00F41E31"/>
    <w:rsid w:val="00F61D99"/>
    <w:rsid w:val="00F700F7"/>
    <w:rsid w:val="00F71128"/>
    <w:rsid w:val="00F722FF"/>
    <w:rsid w:val="00F82865"/>
    <w:rsid w:val="00F92A8A"/>
    <w:rsid w:val="00FB263E"/>
    <w:rsid w:val="00FC093E"/>
    <w:rsid w:val="00FC256A"/>
    <w:rsid w:val="00FC376A"/>
    <w:rsid w:val="00FC66FD"/>
    <w:rsid w:val="00FD7786"/>
    <w:rsid w:val="00FE5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AE498F"/>
  <w15:docId w15:val="{4E35DB83-B260-4FE0-8555-2F79ECED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20"/>
    <w:pPr>
      <w:suppressAutoHyphens/>
    </w:pPr>
    <w:rPr>
      <w:lang w:eastAsia="ar-SA"/>
    </w:rPr>
  </w:style>
  <w:style w:type="paragraph" w:styleId="1">
    <w:name w:val="heading 1"/>
    <w:basedOn w:val="a"/>
    <w:next w:val="a"/>
    <w:qFormat/>
    <w:rsid w:val="004F4520"/>
    <w:pPr>
      <w:keepNext/>
      <w:numPr>
        <w:numId w:val="1"/>
      </w:numPr>
      <w:outlineLvl w:val="0"/>
    </w:pPr>
    <w:rPr>
      <w:sz w:val="26"/>
      <w:lang w:val="en-US"/>
    </w:rPr>
  </w:style>
  <w:style w:type="paragraph" w:styleId="2">
    <w:name w:val="heading 2"/>
    <w:basedOn w:val="a"/>
    <w:next w:val="a"/>
    <w:qFormat/>
    <w:rsid w:val="004F4520"/>
    <w:pPr>
      <w:keepNext/>
      <w:numPr>
        <w:ilvl w:val="1"/>
        <w:numId w:val="1"/>
      </w:numPr>
      <w:jc w:val="center"/>
      <w:outlineLvl w:val="1"/>
    </w:pPr>
    <w:rPr>
      <w:b/>
    </w:rPr>
  </w:style>
  <w:style w:type="paragraph" w:styleId="3">
    <w:name w:val="heading 3"/>
    <w:basedOn w:val="a"/>
    <w:next w:val="a"/>
    <w:qFormat/>
    <w:rsid w:val="004F4520"/>
    <w:pPr>
      <w:keepNext/>
      <w:numPr>
        <w:ilvl w:val="2"/>
        <w:numId w:val="1"/>
      </w:numPr>
      <w:jc w:val="center"/>
      <w:outlineLvl w:val="2"/>
    </w:pPr>
    <w:rPr>
      <w:b/>
      <w:sz w:val="24"/>
    </w:rPr>
  </w:style>
  <w:style w:type="paragraph" w:styleId="4">
    <w:name w:val="heading 4"/>
    <w:basedOn w:val="a"/>
    <w:next w:val="a"/>
    <w:qFormat/>
    <w:rsid w:val="004F4520"/>
    <w:pPr>
      <w:keepNext/>
      <w:numPr>
        <w:ilvl w:val="3"/>
        <w:numId w:val="1"/>
      </w:numPr>
      <w:jc w:val="center"/>
      <w:outlineLvl w:val="3"/>
    </w:pPr>
    <w:rPr>
      <w:b/>
      <w:sz w:val="28"/>
    </w:rPr>
  </w:style>
  <w:style w:type="paragraph" w:styleId="5">
    <w:name w:val="heading 5"/>
    <w:basedOn w:val="a"/>
    <w:next w:val="a"/>
    <w:qFormat/>
    <w:rsid w:val="004F4520"/>
    <w:pPr>
      <w:keepNext/>
      <w:numPr>
        <w:ilvl w:val="4"/>
        <w:numId w:val="1"/>
      </w:numPr>
      <w:jc w:val="both"/>
      <w:outlineLvl w:val="4"/>
    </w:pPr>
    <w:rPr>
      <w:sz w:val="28"/>
    </w:rPr>
  </w:style>
  <w:style w:type="paragraph" w:styleId="6">
    <w:name w:val="heading 6"/>
    <w:basedOn w:val="a"/>
    <w:next w:val="a"/>
    <w:qFormat/>
    <w:rsid w:val="004F4520"/>
    <w:pPr>
      <w:keepNext/>
      <w:numPr>
        <w:ilvl w:val="5"/>
        <w:numId w:val="1"/>
      </w:numPr>
      <w:ind w:left="0" w:firstLine="720"/>
      <w:jc w:val="center"/>
      <w:outlineLvl w:val="5"/>
    </w:pPr>
    <w:rPr>
      <w:b/>
      <w:sz w:val="28"/>
    </w:rPr>
  </w:style>
  <w:style w:type="paragraph" w:styleId="7">
    <w:name w:val="heading 7"/>
    <w:basedOn w:val="a"/>
    <w:next w:val="a"/>
    <w:qFormat/>
    <w:rsid w:val="004F4520"/>
    <w:pPr>
      <w:keepNext/>
      <w:numPr>
        <w:ilvl w:val="6"/>
        <w:numId w:val="1"/>
      </w:numPr>
      <w:outlineLvl w:val="6"/>
    </w:pPr>
    <w:rPr>
      <w:b/>
      <w:sz w:val="28"/>
    </w:rPr>
  </w:style>
  <w:style w:type="paragraph" w:styleId="8">
    <w:name w:val="heading 8"/>
    <w:basedOn w:val="a"/>
    <w:next w:val="a"/>
    <w:qFormat/>
    <w:rsid w:val="004F4520"/>
    <w:pPr>
      <w:keepNext/>
      <w:numPr>
        <w:ilvl w:val="7"/>
        <w:numId w:val="1"/>
      </w:numPr>
      <w:ind w:left="705" w:firstLine="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4520"/>
  </w:style>
  <w:style w:type="character" w:customStyle="1" w:styleId="WW8Num1z1">
    <w:name w:val="WW8Num1z1"/>
    <w:rsid w:val="004F4520"/>
  </w:style>
  <w:style w:type="character" w:customStyle="1" w:styleId="WW8Num1z2">
    <w:name w:val="WW8Num1z2"/>
    <w:rsid w:val="004F4520"/>
  </w:style>
  <w:style w:type="character" w:customStyle="1" w:styleId="WW8Num1z3">
    <w:name w:val="WW8Num1z3"/>
    <w:rsid w:val="004F4520"/>
  </w:style>
  <w:style w:type="character" w:customStyle="1" w:styleId="WW8Num1z4">
    <w:name w:val="WW8Num1z4"/>
    <w:rsid w:val="004F4520"/>
  </w:style>
  <w:style w:type="character" w:customStyle="1" w:styleId="WW8Num1z5">
    <w:name w:val="WW8Num1z5"/>
    <w:rsid w:val="004F4520"/>
  </w:style>
  <w:style w:type="character" w:customStyle="1" w:styleId="WW8Num1z6">
    <w:name w:val="WW8Num1z6"/>
    <w:rsid w:val="004F4520"/>
  </w:style>
  <w:style w:type="character" w:customStyle="1" w:styleId="WW8Num1z7">
    <w:name w:val="WW8Num1z7"/>
    <w:rsid w:val="004F4520"/>
  </w:style>
  <w:style w:type="character" w:customStyle="1" w:styleId="WW8Num1z8">
    <w:name w:val="WW8Num1z8"/>
    <w:rsid w:val="004F4520"/>
  </w:style>
  <w:style w:type="character" w:customStyle="1" w:styleId="WW8Num2z0">
    <w:name w:val="WW8Num2z0"/>
    <w:rsid w:val="004F4520"/>
    <w:rPr>
      <w:rFonts w:ascii="Times New Roman" w:hAnsi="Times New Roman" w:cs="Times New Roman" w:hint="default"/>
      <w:sz w:val="28"/>
    </w:rPr>
  </w:style>
  <w:style w:type="character" w:customStyle="1" w:styleId="WW8Num2z1">
    <w:name w:val="WW8Num2z1"/>
    <w:rsid w:val="004F4520"/>
    <w:rPr>
      <w:rFonts w:ascii="Courier New" w:hAnsi="Courier New" w:cs="Wingdings" w:hint="default"/>
    </w:rPr>
  </w:style>
  <w:style w:type="character" w:customStyle="1" w:styleId="WW8Num2z2">
    <w:name w:val="WW8Num2z2"/>
    <w:rsid w:val="004F4520"/>
    <w:rPr>
      <w:rFonts w:ascii="Wingdings" w:hAnsi="Wingdings" w:cs="Wingdings" w:hint="default"/>
    </w:rPr>
  </w:style>
  <w:style w:type="character" w:customStyle="1" w:styleId="WW8Num2z3">
    <w:name w:val="WW8Num2z3"/>
    <w:rsid w:val="004F4520"/>
    <w:rPr>
      <w:rFonts w:ascii="Symbol" w:hAnsi="Symbol" w:cs="Symbol" w:hint="default"/>
    </w:rPr>
  </w:style>
  <w:style w:type="character" w:customStyle="1" w:styleId="WW8Num2z4">
    <w:name w:val="WW8Num2z4"/>
    <w:rsid w:val="004F4520"/>
  </w:style>
  <w:style w:type="character" w:customStyle="1" w:styleId="WW8Num2z5">
    <w:name w:val="WW8Num2z5"/>
    <w:rsid w:val="004F4520"/>
  </w:style>
  <w:style w:type="character" w:customStyle="1" w:styleId="WW8Num2z6">
    <w:name w:val="WW8Num2z6"/>
    <w:rsid w:val="004F4520"/>
  </w:style>
  <w:style w:type="character" w:customStyle="1" w:styleId="WW8Num2z7">
    <w:name w:val="WW8Num2z7"/>
    <w:rsid w:val="004F4520"/>
  </w:style>
  <w:style w:type="character" w:customStyle="1" w:styleId="WW8Num2z8">
    <w:name w:val="WW8Num2z8"/>
    <w:rsid w:val="004F4520"/>
  </w:style>
  <w:style w:type="character" w:customStyle="1" w:styleId="20">
    <w:name w:val="Основной шрифт абзаца2"/>
    <w:rsid w:val="004F4520"/>
  </w:style>
  <w:style w:type="character" w:customStyle="1" w:styleId="WW8Num3z0">
    <w:name w:val="WW8Num3z0"/>
    <w:rsid w:val="004F4520"/>
    <w:rPr>
      <w:rFonts w:ascii="Times New Roman" w:eastAsia="Times New Roman" w:hAnsi="Times New Roman" w:cs="Times New Roman" w:hint="default"/>
    </w:rPr>
  </w:style>
  <w:style w:type="character" w:customStyle="1" w:styleId="WW8Num3z1">
    <w:name w:val="WW8Num3z1"/>
    <w:rsid w:val="004F4520"/>
    <w:rPr>
      <w:rFonts w:ascii="Courier New" w:hAnsi="Courier New" w:cs="Wingdings" w:hint="default"/>
    </w:rPr>
  </w:style>
  <w:style w:type="character" w:customStyle="1" w:styleId="WW8Num3z2">
    <w:name w:val="WW8Num3z2"/>
    <w:rsid w:val="004F4520"/>
    <w:rPr>
      <w:rFonts w:ascii="Wingdings" w:hAnsi="Wingdings" w:cs="Wingdings" w:hint="default"/>
    </w:rPr>
  </w:style>
  <w:style w:type="character" w:customStyle="1" w:styleId="WW8Num3z3">
    <w:name w:val="WW8Num3z3"/>
    <w:rsid w:val="004F4520"/>
    <w:rPr>
      <w:rFonts w:ascii="Symbol" w:hAnsi="Symbol" w:cs="Symbol" w:hint="default"/>
    </w:rPr>
  </w:style>
  <w:style w:type="character" w:customStyle="1" w:styleId="WW8Num4z0">
    <w:name w:val="WW8Num4z0"/>
    <w:rsid w:val="004F4520"/>
    <w:rPr>
      <w:rFonts w:hint="default"/>
    </w:rPr>
  </w:style>
  <w:style w:type="character" w:customStyle="1" w:styleId="WW8Num5z0">
    <w:name w:val="WW8Num5z0"/>
    <w:rsid w:val="004F4520"/>
    <w:rPr>
      <w:rFonts w:hint="default"/>
    </w:rPr>
  </w:style>
  <w:style w:type="character" w:customStyle="1" w:styleId="WW8Num6z0">
    <w:name w:val="WW8Num6z0"/>
    <w:rsid w:val="004F4520"/>
    <w:rPr>
      <w:rFonts w:ascii="Times New Roman" w:eastAsia="Times New Roman" w:hAnsi="Times New Roman" w:cs="Times New Roman" w:hint="default"/>
    </w:rPr>
  </w:style>
  <w:style w:type="character" w:customStyle="1" w:styleId="WW8Num6z1">
    <w:name w:val="WW8Num6z1"/>
    <w:rsid w:val="004F4520"/>
    <w:rPr>
      <w:rFonts w:ascii="Courier New" w:hAnsi="Courier New" w:cs="Courier New" w:hint="default"/>
    </w:rPr>
  </w:style>
  <w:style w:type="character" w:customStyle="1" w:styleId="WW8Num6z2">
    <w:name w:val="WW8Num6z2"/>
    <w:rsid w:val="004F4520"/>
    <w:rPr>
      <w:rFonts w:ascii="Wingdings" w:hAnsi="Wingdings" w:cs="Wingdings" w:hint="default"/>
    </w:rPr>
  </w:style>
  <w:style w:type="character" w:customStyle="1" w:styleId="WW8Num6z3">
    <w:name w:val="WW8Num6z3"/>
    <w:rsid w:val="004F4520"/>
    <w:rPr>
      <w:rFonts w:ascii="Symbol" w:hAnsi="Symbol" w:cs="Symbol" w:hint="default"/>
    </w:rPr>
  </w:style>
  <w:style w:type="character" w:customStyle="1" w:styleId="WW8Num7z0">
    <w:name w:val="WW8Num7z0"/>
    <w:rsid w:val="004F4520"/>
    <w:rPr>
      <w:rFonts w:hint="default"/>
    </w:rPr>
  </w:style>
  <w:style w:type="character" w:customStyle="1" w:styleId="WW8Num8z0">
    <w:name w:val="WW8Num8z0"/>
    <w:rsid w:val="004F4520"/>
    <w:rPr>
      <w:rFonts w:ascii="Times New Roman" w:eastAsia="Times New Roman" w:hAnsi="Times New Roman" w:cs="Times New Roman" w:hint="default"/>
    </w:rPr>
  </w:style>
  <w:style w:type="character" w:customStyle="1" w:styleId="WW8Num8z1">
    <w:name w:val="WW8Num8z1"/>
    <w:rsid w:val="004F4520"/>
    <w:rPr>
      <w:rFonts w:ascii="Courier New" w:hAnsi="Courier New" w:cs="Wingdings" w:hint="default"/>
    </w:rPr>
  </w:style>
  <w:style w:type="character" w:customStyle="1" w:styleId="WW8Num8z2">
    <w:name w:val="WW8Num8z2"/>
    <w:rsid w:val="004F4520"/>
    <w:rPr>
      <w:rFonts w:ascii="Wingdings" w:hAnsi="Wingdings" w:cs="Wingdings" w:hint="default"/>
    </w:rPr>
  </w:style>
  <w:style w:type="character" w:customStyle="1" w:styleId="WW8Num8z3">
    <w:name w:val="WW8Num8z3"/>
    <w:rsid w:val="004F4520"/>
    <w:rPr>
      <w:rFonts w:ascii="Symbol" w:hAnsi="Symbol" w:cs="Symbol" w:hint="default"/>
    </w:rPr>
  </w:style>
  <w:style w:type="character" w:customStyle="1" w:styleId="WW8Num9z0">
    <w:name w:val="WW8Num9z0"/>
    <w:rsid w:val="004F4520"/>
    <w:rPr>
      <w:rFonts w:hint="default"/>
    </w:rPr>
  </w:style>
  <w:style w:type="character" w:customStyle="1" w:styleId="WW8Num10z0">
    <w:name w:val="WW8Num10z0"/>
    <w:rsid w:val="004F4520"/>
    <w:rPr>
      <w:rFonts w:ascii="Times New Roman" w:eastAsia="Times New Roman" w:hAnsi="Times New Roman" w:cs="Times New Roman" w:hint="default"/>
    </w:rPr>
  </w:style>
  <w:style w:type="character" w:customStyle="1" w:styleId="WW8Num10z1">
    <w:name w:val="WW8Num10z1"/>
    <w:rsid w:val="004F4520"/>
    <w:rPr>
      <w:rFonts w:ascii="Courier New" w:hAnsi="Courier New" w:cs="Courier New" w:hint="default"/>
    </w:rPr>
  </w:style>
  <w:style w:type="character" w:customStyle="1" w:styleId="WW8Num10z2">
    <w:name w:val="WW8Num10z2"/>
    <w:rsid w:val="004F4520"/>
    <w:rPr>
      <w:rFonts w:ascii="Wingdings" w:hAnsi="Wingdings" w:cs="Wingdings" w:hint="default"/>
    </w:rPr>
  </w:style>
  <w:style w:type="character" w:customStyle="1" w:styleId="WW8Num10z3">
    <w:name w:val="WW8Num10z3"/>
    <w:rsid w:val="004F4520"/>
    <w:rPr>
      <w:rFonts w:ascii="Symbol" w:hAnsi="Symbol" w:cs="Symbol" w:hint="default"/>
    </w:rPr>
  </w:style>
  <w:style w:type="character" w:customStyle="1" w:styleId="WW8Num11z0">
    <w:name w:val="WW8Num11z0"/>
    <w:rsid w:val="004F4520"/>
    <w:rPr>
      <w:rFonts w:ascii="Times New Roman" w:eastAsia="Times New Roman" w:hAnsi="Times New Roman" w:cs="Times New Roman" w:hint="default"/>
    </w:rPr>
  </w:style>
  <w:style w:type="character" w:customStyle="1" w:styleId="WW8Num11z1">
    <w:name w:val="WW8Num11z1"/>
    <w:rsid w:val="004F4520"/>
    <w:rPr>
      <w:rFonts w:ascii="Courier New" w:hAnsi="Courier New" w:cs="Courier New" w:hint="default"/>
    </w:rPr>
  </w:style>
  <w:style w:type="character" w:customStyle="1" w:styleId="WW8Num11z2">
    <w:name w:val="WW8Num11z2"/>
    <w:rsid w:val="004F4520"/>
    <w:rPr>
      <w:rFonts w:ascii="Wingdings" w:hAnsi="Wingdings" w:cs="Wingdings" w:hint="default"/>
    </w:rPr>
  </w:style>
  <w:style w:type="character" w:customStyle="1" w:styleId="WW8Num11z3">
    <w:name w:val="WW8Num11z3"/>
    <w:rsid w:val="004F4520"/>
    <w:rPr>
      <w:rFonts w:ascii="Symbol" w:hAnsi="Symbol" w:cs="Symbol" w:hint="default"/>
    </w:rPr>
  </w:style>
  <w:style w:type="character" w:customStyle="1" w:styleId="WW8Num12z0">
    <w:name w:val="WW8Num12z0"/>
    <w:rsid w:val="004F4520"/>
    <w:rPr>
      <w:rFonts w:hint="default"/>
    </w:rPr>
  </w:style>
  <w:style w:type="character" w:customStyle="1" w:styleId="WW8Num13z0">
    <w:name w:val="WW8Num13z0"/>
    <w:rsid w:val="004F4520"/>
    <w:rPr>
      <w:rFonts w:hint="default"/>
    </w:rPr>
  </w:style>
  <w:style w:type="character" w:customStyle="1" w:styleId="WW8Num14z0">
    <w:name w:val="WW8Num14z0"/>
    <w:rsid w:val="004F4520"/>
    <w:rPr>
      <w:rFonts w:hint="default"/>
    </w:rPr>
  </w:style>
  <w:style w:type="character" w:customStyle="1" w:styleId="WW8Num14z1">
    <w:name w:val="WW8Num14z1"/>
    <w:rsid w:val="004F4520"/>
    <w:rPr>
      <w:rFonts w:ascii="Courier New" w:hAnsi="Courier New" w:cs="Courier New" w:hint="default"/>
    </w:rPr>
  </w:style>
  <w:style w:type="character" w:customStyle="1" w:styleId="WW8Num14z2">
    <w:name w:val="WW8Num14z2"/>
    <w:rsid w:val="004F4520"/>
    <w:rPr>
      <w:rFonts w:ascii="Wingdings" w:hAnsi="Wingdings" w:cs="Wingdings" w:hint="default"/>
    </w:rPr>
  </w:style>
  <w:style w:type="character" w:customStyle="1" w:styleId="WW8Num14z3">
    <w:name w:val="WW8Num14z3"/>
    <w:rsid w:val="004F4520"/>
    <w:rPr>
      <w:rFonts w:ascii="Symbol" w:hAnsi="Symbol" w:cs="Symbol" w:hint="default"/>
    </w:rPr>
  </w:style>
  <w:style w:type="character" w:customStyle="1" w:styleId="10">
    <w:name w:val="Основной шрифт абзаца1"/>
    <w:rsid w:val="004F4520"/>
  </w:style>
  <w:style w:type="character" w:customStyle="1" w:styleId="apple-converted-space">
    <w:name w:val="apple-converted-space"/>
    <w:basedOn w:val="10"/>
    <w:rsid w:val="004F4520"/>
  </w:style>
  <w:style w:type="paragraph" w:customStyle="1" w:styleId="a3">
    <w:name w:val="Заголовок"/>
    <w:basedOn w:val="a"/>
    <w:next w:val="a4"/>
    <w:rsid w:val="004F4520"/>
    <w:pPr>
      <w:keepNext/>
      <w:spacing w:before="240" w:after="120"/>
    </w:pPr>
    <w:rPr>
      <w:rFonts w:ascii="Arial" w:eastAsia="Microsoft YaHei" w:hAnsi="Arial" w:cs="Arial"/>
      <w:sz w:val="28"/>
      <w:szCs w:val="28"/>
    </w:rPr>
  </w:style>
  <w:style w:type="paragraph" w:styleId="a4">
    <w:name w:val="Body Text"/>
    <w:basedOn w:val="a"/>
    <w:rsid w:val="004F4520"/>
    <w:pPr>
      <w:jc w:val="both"/>
    </w:pPr>
    <w:rPr>
      <w:sz w:val="28"/>
    </w:rPr>
  </w:style>
  <w:style w:type="paragraph" w:styleId="a5">
    <w:name w:val="List"/>
    <w:basedOn w:val="a4"/>
    <w:rsid w:val="004F4520"/>
    <w:rPr>
      <w:rFonts w:cs="Arial"/>
    </w:rPr>
  </w:style>
  <w:style w:type="paragraph" w:customStyle="1" w:styleId="21">
    <w:name w:val="Название2"/>
    <w:basedOn w:val="a"/>
    <w:rsid w:val="004F4520"/>
    <w:pPr>
      <w:suppressLineNumbers/>
      <w:spacing w:before="120" w:after="120"/>
    </w:pPr>
    <w:rPr>
      <w:rFonts w:cs="Arial"/>
      <w:i/>
      <w:iCs/>
      <w:sz w:val="24"/>
      <w:szCs w:val="24"/>
    </w:rPr>
  </w:style>
  <w:style w:type="paragraph" w:customStyle="1" w:styleId="22">
    <w:name w:val="Указатель2"/>
    <w:basedOn w:val="a"/>
    <w:rsid w:val="004F4520"/>
    <w:pPr>
      <w:suppressLineNumbers/>
    </w:pPr>
    <w:rPr>
      <w:rFonts w:cs="Arial"/>
    </w:rPr>
  </w:style>
  <w:style w:type="paragraph" w:customStyle="1" w:styleId="11">
    <w:name w:val="Название1"/>
    <w:basedOn w:val="a"/>
    <w:rsid w:val="004F4520"/>
    <w:pPr>
      <w:suppressLineNumbers/>
      <w:spacing w:before="120" w:after="120"/>
    </w:pPr>
    <w:rPr>
      <w:rFonts w:cs="Arial"/>
      <w:i/>
      <w:iCs/>
      <w:sz w:val="24"/>
      <w:szCs w:val="24"/>
    </w:rPr>
  </w:style>
  <w:style w:type="paragraph" w:customStyle="1" w:styleId="12">
    <w:name w:val="Указатель1"/>
    <w:basedOn w:val="a"/>
    <w:rsid w:val="004F4520"/>
    <w:pPr>
      <w:suppressLineNumbers/>
    </w:pPr>
    <w:rPr>
      <w:rFonts w:cs="Arial"/>
    </w:rPr>
  </w:style>
  <w:style w:type="paragraph" w:customStyle="1" w:styleId="13">
    <w:name w:val="Название объекта1"/>
    <w:basedOn w:val="a"/>
    <w:next w:val="a"/>
    <w:rsid w:val="004F4520"/>
    <w:pPr>
      <w:jc w:val="center"/>
    </w:pPr>
    <w:rPr>
      <w:sz w:val="28"/>
    </w:rPr>
  </w:style>
  <w:style w:type="paragraph" w:styleId="a6">
    <w:name w:val="Body Text Indent"/>
    <w:basedOn w:val="a"/>
    <w:rsid w:val="004F4520"/>
    <w:pPr>
      <w:ind w:firstLine="720"/>
      <w:jc w:val="both"/>
    </w:pPr>
    <w:rPr>
      <w:sz w:val="28"/>
    </w:rPr>
  </w:style>
  <w:style w:type="paragraph" w:customStyle="1" w:styleId="210">
    <w:name w:val="Основной текст с отступом 21"/>
    <w:basedOn w:val="a"/>
    <w:rsid w:val="004F4520"/>
    <w:pPr>
      <w:ind w:firstLine="851"/>
      <w:jc w:val="both"/>
    </w:pPr>
    <w:rPr>
      <w:sz w:val="28"/>
    </w:rPr>
  </w:style>
  <w:style w:type="paragraph" w:customStyle="1" w:styleId="31">
    <w:name w:val="Основной текст с отступом 31"/>
    <w:basedOn w:val="a"/>
    <w:rsid w:val="004F4520"/>
    <w:pPr>
      <w:ind w:firstLine="708"/>
      <w:jc w:val="both"/>
    </w:pPr>
    <w:rPr>
      <w:sz w:val="28"/>
    </w:rPr>
  </w:style>
  <w:style w:type="paragraph" w:customStyle="1" w:styleId="a7">
    <w:name w:val="Знак Знак Знак Знак Знак Знак Знак Знак Знак Знак"/>
    <w:basedOn w:val="a"/>
    <w:rsid w:val="004F4520"/>
    <w:rPr>
      <w:rFonts w:ascii="Verdana" w:hAnsi="Verdana" w:cs="Verdana"/>
      <w:lang w:val="en-US"/>
    </w:rPr>
  </w:style>
  <w:style w:type="paragraph" w:customStyle="1" w:styleId="a8">
    <w:name w:val="Знак Знак Знак"/>
    <w:basedOn w:val="a"/>
    <w:rsid w:val="004F4520"/>
    <w:rPr>
      <w:rFonts w:ascii="Verdana" w:hAnsi="Verdana" w:cs="Verdana"/>
      <w:lang w:val="en-US"/>
    </w:rPr>
  </w:style>
  <w:style w:type="paragraph" w:customStyle="1" w:styleId="a9">
    <w:name w:val="Содержимое таблицы"/>
    <w:basedOn w:val="a"/>
    <w:rsid w:val="004F4520"/>
    <w:pPr>
      <w:suppressLineNumbers/>
    </w:pPr>
  </w:style>
  <w:style w:type="paragraph" w:customStyle="1" w:styleId="aa">
    <w:name w:val="Заголовок таблицы"/>
    <w:basedOn w:val="a9"/>
    <w:rsid w:val="004F4520"/>
    <w:pPr>
      <w:jc w:val="center"/>
    </w:pPr>
    <w:rPr>
      <w:b/>
      <w:bCs/>
    </w:rPr>
  </w:style>
  <w:style w:type="paragraph" w:styleId="ab">
    <w:name w:val="header"/>
    <w:basedOn w:val="a"/>
    <w:rsid w:val="00113F6C"/>
    <w:pPr>
      <w:tabs>
        <w:tab w:val="center" w:pos="4819"/>
        <w:tab w:val="right" w:pos="9639"/>
      </w:tabs>
    </w:pPr>
  </w:style>
  <w:style w:type="character" w:styleId="ac">
    <w:name w:val="page number"/>
    <w:basedOn w:val="a0"/>
    <w:rsid w:val="00113F6C"/>
  </w:style>
  <w:style w:type="paragraph" w:styleId="ad">
    <w:name w:val="Balloon Text"/>
    <w:basedOn w:val="a"/>
    <w:link w:val="ae"/>
    <w:uiPriority w:val="99"/>
    <w:semiHidden/>
    <w:unhideWhenUsed/>
    <w:rsid w:val="009361D0"/>
    <w:rPr>
      <w:rFonts w:ascii="Segoe UI" w:hAnsi="Segoe UI" w:cs="Segoe UI"/>
      <w:sz w:val="18"/>
      <w:szCs w:val="18"/>
    </w:rPr>
  </w:style>
  <w:style w:type="character" w:customStyle="1" w:styleId="ae">
    <w:name w:val="Текст у виносці Знак"/>
    <w:basedOn w:val="a0"/>
    <w:link w:val="ad"/>
    <w:uiPriority w:val="99"/>
    <w:semiHidden/>
    <w:rsid w:val="009361D0"/>
    <w:rPr>
      <w:rFonts w:ascii="Segoe UI" w:hAnsi="Segoe UI" w:cs="Segoe UI"/>
      <w:sz w:val="18"/>
      <w:szCs w:val="18"/>
      <w:lang w:eastAsia="ar-SA"/>
    </w:rPr>
  </w:style>
  <w:style w:type="paragraph" w:styleId="af">
    <w:name w:val="footer"/>
    <w:basedOn w:val="a"/>
    <w:link w:val="af0"/>
    <w:uiPriority w:val="99"/>
    <w:unhideWhenUsed/>
    <w:rsid w:val="00C1432C"/>
    <w:pPr>
      <w:tabs>
        <w:tab w:val="center" w:pos="4819"/>
        <w:tab w:val="right" w:pos="9639"/>
      </w:tabs>
    </w:pPr>
  </w:style>
  <w:style w:type="character" w:customStyle="1" w:styleId="af0">
    <w:name w:val="Нижній колонтитул Знак"/>
    <w:basedOn w:val="a0"/>
    <w:link w:val="af"/>
    <w:uiPriority w:val="99"/>
    <w:rsid w:val="00C1432C"/>
    <w:rPr>
      <w:lang w:eastAsia="ar-SA"/>
    </w:rPr>
  </w:style>
  <w:style w:type="paragraph" w:styleId="af1">
    <w:name w:val="List Paragraph"/>
    <w:basedOn w:val="a"/>
    <w:uiPriority w:val="34"/>
    <w:qFormat/>
    <w:rsid w:val="00C7794E"/>
    <w:pPr>
      <w:ind w:left="720"/>
      <w:contextualSpacing/>
    </w:pPr>
  </w:style>
  <w:style w:type="character" w:customStyle="1" w:styleId="jsgrdq">
    <w:name w:val="jsgrdq"/>
    <w:basedOn w:val="a0"/>
    <w:rsid w:val="001A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70429">
      <w:bodyDiv w:val="1"/>
      <w:marLeft w:val="0"/>
      <w:marRight w:val="0"/>
      <w:marTop w:val="0"/>
      <w:marBottom w:val="0"/>
      <w:divBdr>
        <w:top w:val="none" w:sz="0" w:space="0" w:color="auto"/>
        <w:left w:val="none" w:sz="0" w:space="0" w:color="auto"/>
        <w:bottom w:val="none" w:sz="0" w:space="0" w:color="auto"/>
        <w:right w:val="none" w:sz="0" w:space="0" w:color="auto"/>
      </w:divBdr>
    </w:div>
    <w:div w:id="556400655">
      <w:bodyDiv w:val="1"/>
      <w:marLeft w:val="0"/>
      <w:marRight w:val="0"/>
      <w:marTop w:val="0"/>
      <w:marBottom w:val="0"/>
      <w:divBdr>
        <w:top w:val="none" w:sz="0" w:space="0" w:color="auto"/>
        <w:left w:val="none" w:sz="0" w:space="0" w:color="auto"/>
        <w:bottom w:val="none" w:sz="0" w:space="0" w:color="auto"/>
        <w:right w:val="none" w:sz="0" w:space="0" w:color="auto"/>
      </w:divBdr>
    </w:div>
    <w:div w:id="17006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60;&#1059;2.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uk-UA"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I півріччя 2021 рік</c:v>
                </c:pt>
              </c:strCache>
            </c:strRef>
          </c:tx>
          <c:dPt>
            <c:idx val="0"/>
            <c:bubble3D val="0"/>
            <c:explosion val="3"/>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F9FB-44A4-9CEA-6CCB2128B73A}"/>
              </c:ext>
            </c:extLst>
          </c:dPt>
          <c:dPt>
            <c:idx val="1"/>
            <c:bubble3D val="0"/>
            <c:explosion val="3"/>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FB-44A4-9CEA-6CCB2128B73A}"/>
              </c:ext>
            </c:extLst>
          </c:dPt>
          <c:dPt>
            <c:idx val="2"/>
            <c:bubble3D val="0"/>
            <c:explosion val="3"/>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F9FB-44A4-9CEA-6CCB2128B7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uk-UA"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4" cap="flat" cmpd="sng" algn="ctr">
                  <a:solidFill>
                    <a:schemeClr val="dk1">
                      <a:lumMod val="50000"/>
                      <a:lumOff val="50000"/>
                    </a:schemeClr>
                  </a:solidFill>
                  <a:prstDash val="solid"/>
                  <a:round/>
                </a:ln>
                <a:effectLst/>
              </c:spPr>
            </c:leaderLines>
            <c:extLst>
              <c:ext xmlns:c15="http://schemas.microsoft.com/office/drawing/2012/chart" uri="{CE6537A1-D6FC-4f65-9D91-7224C49458BB}">
                <c15:layout/>
              </c:ext>
            </c:extLst>
          </c:dLbls>
          <c:cat>
            <c:strRef>
              <c:f>Аркуш1!$A$2:$A$4</c:f>
              <c:strCache>
                <c:ptCount val="3"/>
                <c:pt idx="0">
                  <c:v>Доходи загального фонду</c:v>
                </c:pt>
                <c:pt idx="1">
                  <c:v>Доходи спеціального фонду</c:v>
                </c:pt>
                <c:pt idx="2">
                  <c:v>Офіційні трансферти</c:v>
                </c:pt>
              </c:strCache>
            </c:strRef>
          </c:cat>
          <c:val>
            <c:numRef>
              <c:f>Аркуш1!$B$2:$B$4</c:f>
              <c:numCache>
                <c:formatCode>General</c:formatCode>
                <c:ptCount val="3"/>
                <c:pt idx="0" formatCode="#,##0.00">
                  <c:v>30381.09</c:v>
                </c:pt>
                <c:pt idx="1">
                  <c:v>860.48</c:v>
                </c:pt>
                <c:pt idx="2" formatCode="#,##0.00">
                  <c:v>98715.199999999997</c:v>
                </c:pt>
              </c:numCache>
            </c:numRef>
          </c:val>
          <c:extLst>
            <c:ext xmlns:c16="http://schemas.microsoft.com/office/drawing/2014/chart" uri="{C3380CC4-5D6E-409C-BE32-E72D297353CC}">
              <c16:uniqueId val="{00000003-F9FB-44A4-9CEA-6CCB2128B73A}"/>
            </c:ext>
          </c:extLst>
        </c:ser>
        <c:dLbls>
          <c:showLegendKey val="0"/>
          <c:showVal val="0"/>
          <c:showCatName val="0"/>
          <c:showSerName val="0"/>
          <c:showPercent val="0"/>
          <c:showBubbleSize val="0"/>
          <c:showLeaderLines val="1"/>
        </c:dLbls>
        <c:firstSliceAng val="0"/>
      </c:pieChart>
      <c:spPr>
        <a:noFill/>
        <a:ln w="25398">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uk-UA" sz="14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showDLblsOverMax val="0"/>
  </c:chart>
  <c:spPr>
    <a:noFill/>
    <a:ln w="6350" cap="flat" cmpd="sng" algn="ctr">
      <a:noFill/>
      <a:prstDash val="solid"/>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uk-UA"/>
        </a:p>
      </c:txPr>
    </c:title>
    <c:autoTitleDeleted val="0"/>
    <c:plotArea>
      <c:layout>
        <c:manualLayout>
          <c:layoutTarget val="inner"/>
          <c:xMode val="edge"/>
          <c:yMode val="edge"/>
          <c:x val="9.8692734525900008E-2"/>
          <c:y val="0.1311885612153709"/>
          <c:w val="0.87795517970825776"/>
          <c:h val="0.74661938035225495"/>
        </c:manualLayout>
      </c:layout>
      <c:barChart>
        <c:barDir val="col"/>
        <c:grouping val="clustered"/>
        <c:varyColors val="0"/>
        <c:ser>
          <c:idx val="0"/>
          <c:order val="0"/>
          <c:tx>
            <c:strRef>
              <c:f>Аркуш1!$B$1</c:f>
              <c:strCache>
                <c:ptCount val="1"/>
                <c:pt idx="0">
                  <c:v>Місцеві податки та збори</c:v>
                </c:pt>
              </c:strCache>
            </c:strRef>
          </c:tx>
          <c:spPr>
            <a:solidFill>
              <a:schemeClr val="accent1"/>
            </a:solidFill>
            <a:ln>
              <a:noFill/>
            </a:ln>
            <a:effectLst/>
          </c:spPr>
          <c:invertIfNegative val="0"/>
          <c:cat>
            <c:strRef>
              <c:f>Аркуш1!$A$2:$A$5</c:f>
              <c:strCache>
                <c:ptCount val="4"/>
                <c:pt idx="0">
                  <c:v>Податок на нерухоме майно</c:v>
                </c:pt>
                <c:pt idx="1">
                  <c:v>Земельний податок</c:v>
                </c:pt>
                <c:pt idx="2">
                  <c:v>Орендна плата</c:v>
                </c:pt>
                <c:pt idx="3">
                  <c:v>Єдиний податок</c:v>
                </c:pt>
              </c:strCache>
            </c:strRef>
          </c:cat>
          <c:val>
            <c:numRef>
              <c:f>Аркуш1!$B$2:$B$5</c:f>
              <c:numCache>
                <c:formatCode>#,##0.00</c:formatCode>
                <c:ptCount val="4"/>
                <c:pt idx="0">
                  <c:v>420.1</c:v>
                </c:pt>
                <c:pt idx="1">
                  <c:v>3011.45</c:v>
                </c:pt>
                <c:pt idx="2">
                  <c:v>608.54999999999995</c:v>
                </c:pt>
                <c:pt idx="3">
                  <c:v>3763.08</c:v>
                </c:pt>
              </c:numCache>
            </c:numRef>
          </c:val>
          <c:extLst>
            <c:ext xmlns:c16="http://schemas.microsoft.com/office/drawing/2014/chart" uri="{C3380CC4-5D6E-409C-BE32-E72D297353CC}">
              <c16:uniqueId val="{00000000-BB9F-4DC2-89A7-37E1EBA367E5}"/>
            </c:ext>
          </c:extLst>
        </c:ser>
        <c:dLbls>
          <c:showLegendKey val="0"/>
          <c:showVal val="0"/>
          <c:showCatName val="0"/>
          <c:showSerName val="0"/>
          <c:showPercent val="0"/>
          <c:showBubbleSize val="0"/>
        </c:dLbls>
        <c:gapWidth val="199"/>
        <c:axId val="240188160"/>
        <c:axId val="240188544"/>
      </c:barChart>
      <c:catAx>
        <c:axId val="24018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240188544"/>
        <c:crosses val="autoZero"/>
        <c:auto val="1"/>
        <c:lblAlgn val="ctr"/>
        <c:lblOffset val="100"/>
        <c:noMultiLvlLbl val="0"/>
      </c:catAx>
      <c:valAx>
        <c:axId val="240188544"/>
        <c:scaling>
          <c:orientation val="minMax"/>
          <c:max val="25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0188160"/>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712022145199161"/>
          <c:y val="0"/>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uk-UA"/>
        </a:p>
      </c:txPr>
    </c:title>
    <c:autoTitleDeleted val="0"/>
    <c:plotArea>
      <c:layout>
        <c:manualLayout>
          <c:layoutTarget val="inner"/>
          <c:xMode val="edge"/>
          <c:yMode val="edge"/>
          <c:x val="9.8692734525900008E-2"/>
          <c:y val="0.1311885612153709"/>
          <c:w val="0.87795517970825776"/>
          <c:h val="0.74661938035225495"/>
        </c:manualLayout>
      </c:layout>
      <c:barChart>
        <c:barDir val="col"/>
        <c:grouping val="stacked"/>
        <c:varyColors val="0"/>
        <c:ser>
          <c:idx val="0"/>
          <c:order val="0"/>
          <c:tx>
            <c:strRef>
              <c:f>Аркуш1!$B$1</c:f>
              <c:strCache>
                <c:ptCount val="1"/>
                <c:pt idx="0">
                  <c:v>Надходження до спеціального фонду тис.грн.</c:v>
                </c:pt>
              </c:strCache>
            </c:strRef>
          </c:tx>
          <c:spPr>
            <a:solidFill>
              <a:schemeClr val="accent1"/>
            </a:solidFill>
            <a:ln>
              <a:noFill/>
            </a:ln>
            <a:effectLst/>
          </c:spPr>
          <c:invertIfNegative val="0"/>
          <c:cat>
            <c:strRef>
              <c:f>Аркуш1!$A$2:$A$5</c:f>
              <c:strCache>
                <c:ptCount val="4"/>
                <c:pt idx="0">
                  <c:v>Екологічний податок</c:v>
                </c:pt>
                <c:pt idx="1">
                  <c:v>Неоподатковані надходження</c:v>
                </c:pt>
                <c:pt idx="2">
                  <c:v>Надходження від спалати за послуги, що надаються бюджетними установами</c:v>
                </c:pt>
                <c:pt idx="3">
                  <c:v>Кошти від продажу землі</c:v>
                </c:pt>
              </c:strCache>
            </c:strRef>
          </c:cat>
          <c:val>
            <c:numRef>
              <c:f>Аркуш1!$B$2:$B$5</c:f>
              <c:numCache>
                <c:formatCode>#,##0.00</c:formatCode>
                <c:ptCount val="4"/>
                <c:pt idx="0">
                  <c:v>4.8600000000000003</c:v>
                </c:pt>
                <c:pt idx="1">
                  <c:v>245.45</c:v>
                </c:pt>
                <c:pt idx="2">
                  <c:v>549.78</c:v>
                </c:pt>
                <c:pt idx="3">
                  <c:v>60.39</c:v>
                </c:pt>
              </c:numCache>
            </c:numRef>
          </c:val>
          <c:extLst>
            <c:ext xmlns:c16="http://schemas.microsoft.com/office/drawing/2014/chart" uri="{C3380CC4-5D6E-409C-BE32-E72D297353CC}">
              <c16:uniqueId val="{00000000-E2E5-4E80-91D0-CDDA4BCE2139}"/>
            </c:ext>
          </c:extLst>
        </c:ser>
        <c:dLbls>
          <c:showLegendKey val="0"/>
          <c:showVal val="0"/>
          <c:showCatName val="0"/>
          <c:showSerName val="0"/>
          <c:showPercent val="0"/>
          <c:showBubbleSize val="0"/>
        </c:dLbls>
        <c:gapWidth val="199"/>
        <c:overlap val="100"/>
        <c:axId val="240301688"/>
        <c:axId val="240302072"/>
      </c:barChart>
      <c:catAx>
        <c:axId val="240301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uk-UA"/>
          </a:p>
        </c:txPr>
        <c:crossAx val="240302072"/>
        <c:crosses val="autoZero"/>
        <c:auto val="1"/>
        <c:lblAlgn val="ctr"/>
        <c:lblOffset val="100"/>
        <c:noMultiLvlLbl val="0"/>
      </c:catAx>
      <c:valAx>
        <c:axId val="2403020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40301688"/>
        <c:crosses val="autoZero"/>
        <c:crossBetween val="between"/>
      </c:valAx>
      <c:dTable>
        <c:showHorzBorder val="1"/>
        <c:showVertBorder val="1"/>
        <c:showOutline val="1"/>
        <c:showKeys val="0"/>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D91A-F9AB-437C-AD4F-ED4904BF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РФУ2</Template>
  <TotalTime>1170</TotalTime>
  <Pages>7</Pages>
  <Words>7587</Words>
  <Characters>4325</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Маряна</dc:creator>
  <cp:lastModifiedBy>Користувач Windows</cp:lastModifiedBy>
  <cp:revision>49</cp:revision>
  <cp:lastPrinted>2021-05-27T05:47:00Z</cp:lastPrinted>
  <dcterms:created xsi:type="dcterms:W3CDTF">2021-06-01T06:29:00Z</dcterms:created>
  <dcterms:modified xsi:type="dcterms:W3CDTF">2021-08-30T07:31:00Z</dcterms:modified>
</cp:coreProperties>
</file>