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C0AE" w14:textId="799232FF" w:rsidR="00475ADD" w:rsidRDefault="00D139EF" w:rsidP="00D139E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42469FC0" w14:textId="05B931D8" w:rsidR="00475ADD" w:rsidRDefault="00475ADD" w:rsidP="00D139E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14</w:t>
      </w:r>
    </w:p>
    <w:p w14:paraId="2A6B645A" w14:textId="77777777" w:rsidR="00475ADD" w:rsidRDefault="00475ADD" w:rsidP="00D139E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74F59986" w14:textId="6A82838F" w:rsidR="00475ADD" w:rsidRDefault="00475ADD" w:rsidP="00D139EF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A415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D139EF" w:rsidRPr="00D139EF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0D0F98CD" w14:textId="77777777" w:rsidR="00475ADD" w:rsidRDefault="00475ADD" w:rsidP="00475ADD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A65B256" w14:textId="77777777" w:rsidR="00475ADD" w:rsidRDefault="00475ADD" w:rsidP="00475A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1A775A1F" w14:textId="77777777" w:rsidR="00475ADD" w:rsidRDefault="00475ADD" w:rsidP="00475A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6FC918AC" w14:textId="235FEBB4" w:rsidR="00475ADD" w:rsidRDefault="00475ADD" w:rsidP="00475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475ADD">
        <w:rPr>
          <w:rFonts w:ascii="Times New Roman" w:eastAsia="Times New Roman" w:hAnsi="Times New Roman"/>
          <w:b/>
          <w:sz w:val="24"/>
          <w:szCs w:val="24"/>
          <w:lang w:eastAsia="ar-SA"/>
        </w:rPr>
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10C46E48" w14:textId="2A9C97B3" w:rsidR="00475ADD" w:rsidRDefault="00475ADD" w:rsidP="00475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01-14; 01179</w:t>
      </w:r>
    </w:p>
    <w:p w14:paraId="5AC773EE" w14:textId="77777777" w:rsidR="00475ADD" w:rsidRDefault="00475ADD" w:rsidP="00475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30B75F02" w14:textId="77777777" w:rsidR="00475ADD" w:rsidRDefault="00475ADD" w:rsidP="00475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05C498A3" w14:textId="77777777" w:rsidR="00475ADD" w:rsidRDefault="00475ADD" w:rsidP="00475A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62204E93" w14:textId="77777777" w:rsidR="00475ADD" w:rsidRDefault="00475ADD" w:rsidP="00475AD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0C73416F" w14:textId="77777777" w:rsidR="00475ADD" w:rsidRDefault="00475ADD" w:rsidP="00475A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475ADD" w14:paraId="483A5B63" w14:textId="77777777" w:rsidTr="00475A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2059C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2EBDF3AF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75ADD" w14:paraId="24775F4C" w14:textId="77777777" w:rsidTr="00475ADD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0C481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F2CAE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1E24E" w14:textId="77777777" w:rsidR="00475ADD" w:rsidRDefault="00475ADD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5AC3CC09" w14:textId="77777777" w:rsidR="00475ADD" w:rsidRDefault="00475ADD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475ADD" w14:paraId="219D6ACD" w14:textId="77777777" w:rsidTr="00475ADD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F9AEA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6AE3E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752F3" w14:textId="77777777" w:rsidR="00475ADD" w:rsidRDefault="00475AD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0FC5E043" w14:textId="77777777" w:rsidR="00475ADD" w:rsidRDefault="00475AD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353935B8" w14:textId="77777777" w:rsidR="00475ADD" w:rsidRDefault="00475AD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6ECEA357" w14:textId="77777777" w:rsidR="00475ADD" w:rsidRDefault="00475AD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085D3619" w14:textId="77777777" w:rsidR="00475ADD" w:rsidRDefault="00475AD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7AF1095D" w14:textId="77777777" w:rsidR="00475ADD" w:rsidRDefault="00475AD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0C011C0A" w14:textId="77777777" w:rsidR="00475ADD" w:rsidRDefault="00475AD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75ADD" w14:paraId="62CFC28A" w14:textId="77777777" w:rsidTr="00475ADD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6F2AC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86CCE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D6C8" w14:textId="77777777" w:rsidR="00475ADD" w:rsidRDefault="00475ADD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475ADD" w14:paraId="0BA92A3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96761E" w14:textId="77777777" w:rsidR="00475ADD" w:rsidRDefault="00475AD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3E5754" w14:textId="77777777" w:rsidR="00475ADD" w:rsidRDefault="00475AD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475ADD" w14:paraId="7E7209F4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C5BE85" w14:textId="77777777" w:rsidR="00475ADD" w:rsidRDefault="00475AD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2AF127" w14:textId="77777777" w:rsidR="00475ADD" w:rsidRDefault="00475AD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475ADD" w14:paraId="773FF6E5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F4DCF5" w14:textId="77777777" w:rsidR="00475ADD" w:rsidRDefault="00475AD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CDA502" w14:textId="77777777" w:rsidR="00475ADD" w:rsidRDefault="00475AD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6BEF9FBB" w14:textId="77777777" w:rsidR="00475ADD" w:rsidRDefault="00475ADD">
            <w:pPr>
              <w:spacing w:after="0"/>
            </w:pPr>
          </w:p>
        </w:tc>
      </w:tr>
      <w:tr w:rsidR="00475ADD" w14:paraId="2A63C9D9" w14:textId="77777777" w:rsidTr="00475ADD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20D7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5ADD" w14:paraId="01FD51FB" w14:textId="77777777" w:rsidTr="00475A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5955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E101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B603" w14:textId="77777777" w:rsidR="00475ADD" w:rsidRDefault="00475A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75ADD" w14:paraId="3F3B8F5F" w14:textId="77777777" w:rsidTr="00475A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932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7A26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05CE" w14:textId="273A7EA8" w:rsidR="00475ADD" w:rsidRDefault="00475ADD" w:rsidP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475ADD" w14:paraId="70371FD9" w14:textId="77777777" w:rsidTr="00475A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F9B0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CE65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E377" w14:textId="736523A2" w:rsidR="00475ADD" w:rsidRDefault="00475AD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75ADD" w14:paraId="28D66629" w14:textId="77777777" w:rsidTr="00475AD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DBCF3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75ADD" w14:paraId="2E64EA8E" w14:textId="77777777" w:rsidTr="00475AD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E8FE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37A9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0AA3" w14:textId="0E1C5B6A" w:rsidR="00475ADD" w:rsidRDefault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Повідомлення фізичної особи – підприємця або юридичної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особи, які бажають виправити помилки, допущені у відомостях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Єдиного державного реєстру юридичних осіб, фізичних осіб –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підприємців та громадських формувань, або уповноваженої особи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(далі – заявник)</w:t>
            </w:r>
          </w:p>
        </w:tc>
      </w:tr>
      <w:tr w:rsidR="00475ADD" w14:paraId="27B11CD6" w14:textId="77777777" w:rsidTr="00475AD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0D2B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24AF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8F6C" w14:textId="62D05D70" w:rsidR="00475ADD" w:rsidRPr="00475ADD" w:rsidRDefault="00475ADD" w:rsidP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lastRenderedPageBreak/>
              <w:t>Письмове повідомлення заявника про виявлення у відомостях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Єдиного державного реєстру юридичних осіб, фізичних осіб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підприємців та громадських формувань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lastRenderedPageBreak/>
              <w:t>помилки (описки,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друкарської, граматичної, арифметичної помилки);</w:t>
            </w:r>
          </w:p>
          <w:p w14:paraId="6D5CB529" w14:textId="77777777" w:rsidR="00475ADD" w:rsidRPr="00475ADD" w:rsidRDefault="00475ADD" w:rsidP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документ, що підтверджує внесення плати за виправлення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помилки – у разі допущення її не з вини суб’єкта державної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реєстрації;</w:t>
            </w:r>
          </w:p>
          <w:p w14:paraId="189ED89D" w14:textId="77777777" w:rsidR="00475ADD" w:rsidRDefault="00475ADD" w:rsidP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Надаючи повідомлення заявник пред’являє паспорт громадянина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України або інший документ, що посвідчує особу,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передбачений Законом України «Про Єдиний державний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демографічний реєстр та документи, що підтверджують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громадянство України, посвідчують особу чи її спеціальний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статус».</w:t>
            </w:r>
          </w:p>
          <w:p w14:paraId="0E3A7DE8" w14:textId="25FD98CC" w:rsidR="00475ADD" w:rsidRDefault="00475ADD" w:rsidP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14:paraId="74FCF788" w14:textId="77777777" w:rsidR="00475ADD" w:rsidRDefault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475ADD" w14:paraId="666A94A5" w14:textId="77777777" w:rsidTr="00475AD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FE1B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2CC5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і 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6F09" w14:textId="52C72D29" w:rsidR="00475ADD" w:rsidRPr="00475ADD" w:rsidRDefault="00475ADD" w:rsidP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20E8B61C" w14:textId="77777777" w:rsidR="00475ADD" w:rsidRDefault="00475ADD" w:rsidP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послуг, а щодо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послуг, надання яких зазначений вебпортал не забезпечує, – через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портал електронних сервісів*</w:t>
            </w:r>
          </w:p>
        </w:tc>
      </w:tr>
      <w:tr w:rsidR="00475ADD" w14:paraId="08FD60C8" w14:textId="77777777" w:rsidTr="00475AD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58C2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C3A6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4525" w14:textId="2EF09B7E" w:rsidR="00475ADD" w:rsidRDefault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 виправлення помилки у відомостях Єдиного державного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реєстру юридичних осіб, фізичних осіб – підприємців 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громадських формувань, допущеної не з вини суб’єкта державної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реєстрації, справляється адміністративний збір у розмірі 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відсотків адміністративного збору, встановленого частиною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першою статті 36 Закону України «Про державну реєстрацію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формувань»</w:t>
            </w:r>
          </w:p>
        </w:tc>
      </w:tr>
      <w:tr w:rsidR="00475ADD" w14:paraId="308D2452" w14:textId="77777777" w:rsidTr="00475AD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7EF1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DCCA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E0F7" w14:textId="734C178B" w:rsidR="00475ADD" w:rsidRDefault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 день надходження повідомлення</w:t>
            </w:r>
          </w:p>
        </w:tc>
      </w:tr>
      <w:tr w:rsidR="00475ADD" w14:paraId="08EDCD8C" w14:textId="77777777" w:rsidTr="00475ADD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274B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495A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9EB1E" w14:textId="6DC58443" w:rsidR="00475ADD" w:rsidRDefault="00475ADD">
            <w:pPr>
              <w:pStyle w:val="Other0"/>
              <w:spacing w:line="254" w:lineRule="auto"/>
              <w:ind w:firstLine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Не подано документ, що підтверджує внесення плати за </w:t>
            </w:r>
            <w:r w:rsidRPr="00475ADD">
              <w:rPr>
                <w:sz w:val="24"/>
                <w:szCs w:val="24"/>
                <w:lang w:eastAsia="uk-UA"/>
              </w:rPr>
              <w:t>виправлення помилки</w:t>
            </w:r>
          </w:p>
        </w:tc>
      </w:tr>
      <w:tr w:rsidR="00475ADD" w14:paraId="26492B74" w14:textId="77777777" w:rsidTr="00475AD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19B3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B773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A54C" w14:textId="7CE5C2C8" w:rsidR="00475ADD" w:rsidRDefault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Виправлення помилки, допущеної у відомостях Єдиного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державного реєстру юридичних осіб, фізичних осіб – підприємців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 громадських формувань</w:t>
            </w:r>
          </w:p>
        </w:tc>
      </w:tr>
      <w:tr w:rsidR="00475ADD" w14:paraId="1A81D8D4" w14:textId="77777777" w:rsidTr="00475AD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C89F" w14:textId="77777777" w:rsidR="00475ADD" w:rsidRDefault="00475A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608B" w14:textId="77777777" w:rsidR="00475ADD" w:rsidRDefault="0047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173BC" w14:textId="65ACB330" w:rsidR="00475ADD" w:rsidRDefault="00475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A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такий самий спосіб, у який подано повідомлення</w:t>
            </w:r>
          </w:p>
        </w:tc>
      </w:tr>
    </w:tbl>
    <w:p w14:paraId="0267F537" w14:textId="28ADB261" w:rsidR="00475ADD" w:rsidRPr="00475ADD" w:rsidRDefault="00475ADD" w:rsidP="00475ADD">
      <w:pPr>
        <w:rPr>
          <w:rFonts w:ascii="Times New Roman" w:hAnsi="Times New Roman"/>
          <w:sz w:val="16"/>
          <w:szCs w:val="16"/>
        </w:rPr>
      </w:pPr>
      <w:r w:rsidRPr="00475ADD">
        <w:rPr>
          <w:rFonts w:ascii="Times New Roman" w:hAnsi="Times New Roman"/>
          <w:sz w:val="16"/>
          <w:szCs w:val="16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2B93EB28" w14:textId="77777777" w:rsidR="00E517C4" w:rsidRDefault="00E517C4"/>
    <w:sectPr w:rsidR="00E51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37"/>
    <w:rsid w:val="00475ADD"/>
    <w:rsid w:val="00A415E7"/>
    <w:rsid w:val="00B07D37"/>
    <w:rsid w:val="00D139EF"/>
    <w:rsid w:val="00E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FB4C"/>
  <w15:chartTrackingRefBased/>
  <w15:docId w15:val="{F028C579-CB9A-43B8-948C-A41F2AE2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D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475ADD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475ADD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3008</Words>
  <Characters>1715</Characters>
  <Application>Microsoft Office Word</Application>
  <DocSecurity>0</DocSecurity>
  <Lines>14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2024-03-09T07:58:00Z</dcterms:created>
  <dcterms:modified xsi:type="dcterms:W3CDTF">2024-04-20T10:46:00Z</dcterms:modified>
</cp:coreProperties>
</file>