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701A" w14:textId="77777777" w:rsidR="00C43629" w:rsidRDefault="00C43629" w:rsidP="00C43629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01485464" w14:textId="6D074F09" w:rsidR="00C43629" w:rsidRDefault="00C43629" w:rsidP="00C43629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</w:p>
    <w:p w14:paraId="4EDA239E" w14:textId="77777777" w:rsidR="00C43629" w:rsidRDefault="00C43629" w:rsidP="00C43629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21955372" w14:textId="77777777" w:rsidR="00C43629" w:rsidRDefault="00C43629" w:rsidP="00C43629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63DBF2ED" w14:textId="77777777" w:rsidR="00F94D87" w:rsidRPr="00F94D87" w:rsidRDefault="00F94D87" w:rsidP="00F94D87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0358E0" w14:textId="77777777" w:rsidR="00F94D87" w:rsidRPr="00F94D87" w:rsidRDefault="00F94D87" w:rsidP="00F94D8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037536A3" w14:textId="77777777" w:rsidR="00F94D87" w:rsidRPr="00F94D87" w:rsidRDefault="00F94D87" w:rsidP="00F94D87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42BDB39A" w14:textId="04097BD8" w:rsidR="00F94D87" w:rsidRPr="00F94D87" w:rsidRDefault="00F94D87" w:rsidP="00F94D87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«ДЕРЖАВНА РЕЄСТРАЦІЯ ПОТУЖНОСТЕЙ ОПЕРАТОРА РИНКУ»</w:t>
      </w:r>
    </w:p>
    <w:p w14:paraId="029FF11E" w14:textId="6249767F" w:rsidR="00F94D87" w:rsidRPr="00F94D87" w:rsidRDefault="001C683F" w:rsidP="00F94D87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68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1C68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; </w:t>
      </w:r>
      <w:r w:rsidRPr="001C68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01399</w:t>
      </w:r>
    </w:p>
    <w:p w14:paraId="4CF1BB07" w14:textId="77777777" w:rsidR="00F94D87" w:rsidRPr="00F94D87" w:rsidRDefault="00F94D87" w:rsidP="00F94D87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0A0DF0C" w14:textId="77777777" w:rsidR="00F94D87" w:rsidRPr="00F94D87" w:rsidRDefault="00F94D87" w:rsidP="00F94D8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" w:name="_Hlk162355852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6699C897" w14:textId="77777777" w:rsidR="00F94D87" w:rsidRPr="00F94D87" w:rsidRDefault="00F94D87" w:rsidP="00F94D8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34B1452A" w14:textId="77777777" w:rsidR="00F94D87" w:rsidRPr="00F94D87" w:rsidRDefault="00F94D87" w:rsidP="00F94D8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0FB71CD9" w14:textId="77777777" w:rsidR="00F94D87" w:rsidRPr="00F94D87" w:rsidRDefault="00F94D87" w:rsidP="00F9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94D87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EDA7A55" w14:textId="77777777" w:rsidR="00F94D87" w:rsidRPr="00F94D87" w:rsidRDefault="00F94D87" w:rsidP="00F9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F94D87" w:rsidRPr="00F94D87" w14:paraId="322A3DC2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65A" w14:textId="77777777" w:rsidR="00F94D87" w:rsidRPr="00F94D87" w:rsidRDefault="00F94D87" w:rsidP="00F94D87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 w:rsidRPr="00F9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F94D87" w:rsidRPr="00F94D87" w14:paraId="65889B8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9004C2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1352AE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7ACA3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6B86B15E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294F6048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вул.Центральна, 10, с. Верхнє Водяне, Рахівський район, Закарпатська область, 90611</w:t>
            </w:r>
          </w:p>
          <w:p w14:paraId="652D6AD1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1A67CAC4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вул.Павлюка, 175, смт Кобилецька Поляна, Рахівський район, Закарпатська область, 90620</w:t>
            </w:r>
          </w:p>
          <w:p w14:paraId="1ADA77D4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4A33C373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Росішка: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108, с. Росішка, Рахівський район, Закарпатська область, 90622</w:t>
            </w:r>
          </w:p>
          <w:p w14:paraId="3EDDFEE6" w14:textId="77777777" w:rsidR="00F94D87" w:rsidRPr="00F94D87" w:rsidRDefault="00F94D87" w:rsidP="00F94D87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F94D87" w:rsidRPr="00F94D87" w14:paraId="09EFF98A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C2E840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4BC2A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53BA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7D6FD072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459CA95D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261A29AE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54BDCA55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1007FBB8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1D507758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32FF38F8" w14:textId="77777777" w:rsidR="00F94D87" w:rsidRPr="00F94D87" w:rsidRDefault="00F94D87" w:rsidP="00F94D87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04395F4F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280A0BAE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246ECB9C" w14:textId="77777777" w:rsidR="00F94D87" w:rsidRPr="00F94D87" w:rsidRDefault="00F94D87" w:rsidP="00F94D87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ВРМ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4985D864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2ECB616D" w14:textId="77777777" w:rsidR="00F94D87" w:rsidRPr="00F94D87" w:rsidRDefault="00F94D87" w:rsidP="00F94D87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Обідня перерва 12:00-13:00 </w:t>
            </w:r>
          </w:p>
          <w:p w14:paraId="4B65580E" w14:textId="77777777" w:rsidR="00F94D87" w:rsidRPr="00F94D87" w:rsidRDefault="00F94D87" w:rsidP="00F94D87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F94D87" w:rsidRPr="00F94D87" w14:paraId="0587163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44DE8D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1AA2A3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F94D87" w:rsidRPr="00F94D87" w14:paraId="40F9752C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DE11C5" w14:textId="77777777" w:rsidR="00F94D87" w:rsidRPr="00F94D87" w:rsidRDefault="00F94D87" w:rsidP="00F94D87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5C8224" w14:textId="77777777" w:rsidR="00F94D87" w:rsidRPr="00F94D87" w:rsidRDefault="00F94D87" w:rsidP="00F94D87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F94D87" w:rsidRPr="00F94D87" w14:paraId="0A4D860E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10E782" w14:textId="77777777" w:rsidR="00F94D87" w:rsidRPr="00F94D87" w:rsidRDefault="00F94D87" w:rsidP="00F94D87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8E4DDA" w14:textId="77777777" w:rsidR="00F94D87" w:rsidRPr="00F94D87" w:rsidRDefault="00F94D87" w:rsidP="00F94D87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cnap@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F94D87" w:rsidRPr="00F94D87" w14:paraId="42783F79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1C831A" w14:textId="77777777" w:rsidR="00F94D87" w:rsidRPr="00F94D87" w:rsidRDefault="00F94D87" w:rsidP="00F94D87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DE693D" w14:textId="77777777" w:rsidR="00F94D87" w:rsidRPr="00F94D87" w:rsidRDefault="00F94D87" w:rsidP="00F94D87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cnap/</w:t>
                  </w:r>
                </w:p>
              </w:tc>
            </w:tr>
          </w:tbl>
          <w:p w14:paraId="1A27D79B" w14:textId="77777777" w:rsidR="00F94D87" w:rsidRPr="00F94D87" w:rsidRDefault="00F94D87" w:rsidP="00F94D87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F94D87" w:rsidRPr="00F94D87" w14:paraId="7489E21E" w14:textId="77777777" w:rsidTr="00C2708D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618B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D87" w:rsidRPr="00F94D87" w14:paraId="2856D33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83D2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F0EB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B7A6" w14:textId="77777777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адміністративні послуги»;</w:t>
            </w:r>
          </w:p>
          <w:p w14:paraId="28643BCC" w14:textId="5DD7DDAF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основні принципи та вимоги до безпечності та якості харчових продуктів», ст. 25</w:t>
            </w:r>
          </w:p>
        </w:tc>
      </w:tr>
      <w:tr w:rsidR="00F94D87" w:rsidRPr="00F94D87" w14:paraId="0D1995A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5B46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441ED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4309B" w14:textId="617BF66C" w:rsidR="00F94D87" w:rsidRPr="00F94D87" w:rsidRDefault="00F94D87" w:rsidP="00F94D87">
            <w:pPr>
              <w:spacing w:after="0" w:line="25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Розпорядження Кабінету Міністрів України від 18.08.2021 № 969-р «Про внесення змін до розпорядження Кабінету Майорів України від 16 травня 2014 р. № 523».</w:t>
            </w:r>
          </w:p>
        </w:tc>
      </w:tr>
      <w:tr w:rsidR="00F94D87" w:rsidRPr="00F94D87" w14:paraId="4D19581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01937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2721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CFCA" w14:textId="2F2EC78F" w:rsidR="00F94D87" w:rsidRPr="00F94D87" w:rsidRDefault="00F94D87" w:rsidP="00F94D87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Наказ Мінагрополітики від 10.06.2016 року № 39. зареєстрований в Міністерстві юстиції У країни 12.03.2016 за № 382/28512 «Про затвердження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Порядку проведення державної реєстрації потужностей. ведення державного реєстру потужностей операторів ринку та надання інформації з нього заінтересованим суб'єктам»;</w:t>
            </w:r>
          </w:p>
        </w:tc>
      </w:tr>
      <w:tr w:rsidR="00F94D87" w:rsidRPr="00F94D87" w14:paraId="02B6FD0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5C4A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741A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CE88" w14:textId="77777777" w:rsidR="00F94D87" w:rsidRPr="00F94D87" w:rsidRDefault="00F94D87" w:rsidP="00F94D87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F94D87" w:rsidRPr="00F94D87" w14:paraId="6A09EBDC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527A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F94D87" w:rsidRPr="00F94D87" w14:paraId="1020EDC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A4A17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90ECD" w14:textId="77777777" w:rsidR="00F94D87" w:rsidRPr="00F94D87" w:rsidRDefault="00F94D87" w:rsidP="00F94D8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36BF1" w14:textId="7A0CC6E4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Провадження діяльності, пов’язаної з виробництвом та/або обігом харчових продуктів на потужностях, які не потребують отримання експлуатаційного дозволу</w:t>
            </w:r>
          </w:p>
        </w:tc>
      </w:tr>
      <w:tr w:rsidR="00F94D87" w:rsidRPr="00F94D87" w14:paraId="48DDAB2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E63B9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A327" w14:textId="46C18F01" w:rsidR="00F94D87" w:rsidRPr="00F94D87" w:rsidRDefault="00F94D87" w:rsidP="00F94D8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E41C3" w14:textId="6B4C38CA" w:rsidR="00F94D87" w:rsidRPr="00F94D87" w:rsidRDefault="00F94D87" w:rsidP="00F94D87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державну реєстрацію потужності</w:t>
            </w:r>
          </w:p>
        </w:tc>
      </w:tr>
      <w:tr w:rsidR="00F94D87" w:rsidRPr="00F94D87" w14:paraId="2C2E1C9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FFA4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8210D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0237B" w14:textId="28D5C154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державну реєстрацію потужності може бути подана в паперовому або електронному вигляді. Подання заяви в електронному вигляді здійснюється з використанням посиленого сертифіката відкритого ключа у порядку, встановленому' Законом України «Про електронні документи та електронний документообіг» та Законом України «Про електронні довірчі послуги». Заява про державн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реєстрацію потужності засвідчується підписом оператора ринку або уповноваженої ним особи.</w:t>
            </w:r>
          </w:p>
        </w:tc>
      </w:tr>
      <w:tr w:rsidR="00F94D87" w:rsidRPr="00F94D87" w14:paraId="03374DE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BD72D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A98A9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F77E5" w14:textId="77777777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F94D87" w:rsidRPr="00F94D87" w14:paraId="560E605D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7C38" w14:textId="77777777" w:rsidR="00F94D87" w:rsidRPr="00F94D87" w:rsidRDefault="00F94D87" w:rsidP="00F94D87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 разі платності</w:t>
            </w:r>
          </w:p>
        </w:tc>
      </w:tr>
      <w:tr w:rsidR="00F94D87" w:rsidRPr="00F94D87" w14:paraId="05B50702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AF79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BF66B6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1EFA" w14:textId="77777777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94D87" w:rsidRPr="00F94D87" w14:paraId="3C4CDEF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9552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F2A1B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Розмір та порядок внесення плати (адміністративного </w:t>
            </w: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13F1" w14:textId="77777777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F94D87" w:rsidRPr="00F94D87" w14:paraId="5C19B52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72F7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E4C84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3541" w14:textId="77777777" w:rsidR="00F94D87" w:rsidRPr="00F94D87" w:rsidRDefault="00F94D87" w:rsidP="00F94D87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94D87" w:rsidRPr="00F94D87" w14:paraId="2E18729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7C8B9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5174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D865E" w14:textId="59C31AFC" w:rsidR="00F94D87" w:rsidRPr="00F94D87" w:rsidRDefault="00F94D87" w:rsidP="00F94D87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календарних днів після отримання заяви оператора ринку про таку реєстрацію, за наявністю обґрунтованих причин можливе продовження строку проведення реєстрації, який не може бути продовжений більше ніж на 15 робочих днів.</w:t>
            </w:r>
          </w:p>
        </w:tc>
      </w:tr>
      <w:tr w:rsidR="00F94D87" w:rsidRPr="00F94D87" w14:paraId="03B30CEE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6F75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DE2D4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42F7D" w14:textId="04AE63BB" w:rsidR="00F94D87" w:rsidRPr="00F94D87" w:rsidRDefault="00F94D87" w:rsidP="00F94D87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невідповідність заяви встановленій формі;</w:t>
            </w:r>
          </w:p>
          <w:p w14:paraId="1BDEC566" w14:textId="4CF342BB" w:rsidR="00F94D87" w:rsidRPr="00F94D87" w:rsidRDefault="00F94D87" w:rsidP="00F94D87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в заяві неповної інформації;</w:t>
            </w:r>
          </w:p>
          <w:p w14:paraId="5A65852E" w14:textId="4B3DCDF2" w:rsidR="00F94D87" w:rsidRPr="00F94D87" w:rsidRDefault="00F94D87" w:rsidP="00F94D87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раніше прийнятого рішення про державну реєстрацію цієї потужності</w:t>
            </w:r>
          </w:p>
        </w:tc>
      </w:tr>
      <w:tr w:rsidR="00F94D87" w:rsidRPr="00F94D87" w14:paraId="38E849E6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3CA6D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96169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33AC7" w14:textId="77777777" w:rsidR="00F94D87" w:rsidRDefault="00F94D87" w:rsidP="00F94D87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про державну реєстрацію потужності.</w:t>
            </w:r>
          </w:p>
          <w:p w14:paraId="469ABA42" w14:textId="32865146" w:rsidR="00F94D87" w:rsidRPr="00F94D87" w:rsidRDefault="00F94D87" w:rsidP="00F94D87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про відмову у державній реєстрації потужності</w:t>
            </w:r>
          </w:p>
        </w:tc>
      </w:tr>
      <w:tr w:rsidR="00F94D87" w:rsidRPr="00F94D87" w14:paraId="7D18192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C0D1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CD79C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F8EC8" w14:textId="77777777" w:rsidR="00F94D87" w:rsidRDefault="00F94D87" w:rsidP="00F94D87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рішення про державну реєстрацію потужності або про відмову у такій реєстрації надається суб’єкту звернення або уповноваженій ним особі.</w:t>
            </w:r>
          </w:p>
          <w:p w14:paraId="01C852AB" w14:textId="42C29A8D" w:rsidR="00F94D87" w:rsidRPr="00F94D87" w:rsidRDefault="00F94D87" w:rsidP="00F94D87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рішення про державну реєстрацію потужності або про відмову у такій реєстрації (надсилається) електронною поштою, що вказана у заяві.</w:t>
            </w:r>
          </w:p>
        </w:tc>
      </w:tr>
      <w:tr w:rsidR="00F94D87" w:rsidRPr="00F94D87" w14:paraId="1E5C7A7F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AFE4" w14:textId="77777777" w:rsidR="00F94D87" w:rsidRPr="00F94D87" w:rsidRDefault="00F94D87" w:rsidP="00F9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6E76" w14:textId="77777777"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6146" w14:textId="0E5CB087" w:rsidR="00F94D87" w:rsidRPr="00F94D87" w:rsidRDefault="00F94D87" w:rsidP="006671B2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зареєстрованих потужностей операторів ринку вноситься до Державного реєстр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потежностей операторів ринку відповідно до наказу Мінагрополітики від 10.02.2016 р. № 39 «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з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ареєстровано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Міністерстві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юстиції України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.03.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  <w:r w:rsid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671B2" w:rsidRPr="006671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№ 382/28512</w:t>
            </w:r>
          </w:p>
        </w:tc>
      </w:tr>
    </w:tbl>
    <w:p w14:paraId="606BCB9B" w14:textId="77777777" w:rsidR="006671B2" w:rsidRDefault="006671B2" w:rsidP="00F94D8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89DA9" w14:textId="14ECEDCF" w:rsidR="00F94D87" w:rsidRPr="00F94D87" w:rsidRDefault="00F94D87" w:rsidP="00F94D87">
      <w:pPr>
        <w:spacing w:line="256" w:lineRule="auto"/>
        <w:rPr>
          <w:rFonts w:ascii="Calibri" w:eastAsia="Calibri" w:hAnsi="Calibri" w:cs="Times New Roman"/>
        </w:rPr>
      </w:pPr>
      <w:r w:rsidRPr="00F94D87">
        <w:rPr>
          <w:rFonts w:ascii="Calibri" w:eastAsia="Calibri" w:hAnsi="Calibri" w:cs="Times New Roman"/>
        </w:rPr>
        <w:br w:type="page"/>
      </w:r>
    </w:p>
    <w:p w14:paraId="4C700D85" w14:textId="77777777" w:rsidR="00C43629" w:rsidRDefault="00C43629" w:rsidP="00C43629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01C38DE6" w14:textId="1D295575" w:rsidR="00C43629" w:rsidRDefault="00C43629" w:rsidP="00C43629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</w:t>
      </w:r>
    </w:p>
    <w:p w14:paraId="46275738" w14:textId="77777777" w:rsidR="00C43629" w:rsidRDefault="00C43629" w:rsidP="00C43629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E49CEB1" w14:textId="77777777" w:rsidR="00C43629" w:rsidRDefault="00C43629" w:rsidP="00C43629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5FCDF4E4" w14:textId="77777777" w:rsidR="001F3C54" w:rsidRPr="00F94D87" w:rsidRDefault="001F3C54" w:rsidP="00F94D87">
      <w:pPr>
        <w:spacing w:after="0" w:line="240" w:lineRule="auto"/>
        <w:ind w:left="6237" w:right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895150" w14:textId="77777777" w:rsidR="00F94D87" w:rsidRPr="00F94D87" w:rsidRDefault="00F94D87" w:rsidP="00F9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28013897" w14:textId="77777777" w:rsidR="00F94D87" w:rsidRPr="00F94D87" w:rsidRDefault="00F94D87" w:rsidP="00F94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51E4BA1E" w14:textId="1D0D06D9" w:rsidR="00F94D87" w:rsidRPr="00F94D87" w:rsidRDefault="00F94D87" w:rsidP="00F94D8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D87">
        <w:rPr>
          <w:rFonts w:ascii="Times New Roman" w:eastAsia="Calibri" w:hAnsi="Times New Roman" w:cs="Times New Roman"/>
          <w:b/>
          <w:sz w:val="24"/>
          <w:szCs w:val="24"/>
        </w:rPr>
        <w:t>Державна реєстрація потужностей оператора ринку</w:t>
      </w:r>
    </w:p>
    <w:tbl>
      <w:tblPr>
        <w:tblW w:w="105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165"/>
      </w:tblGrid>
      <w:tr w:rsidR="00F94D87" w:rsidRPr="00F94D87" w14:paraId="3242E8EA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C4F2C1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A1B87E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2FA691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15FEFC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E4028E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F94D87" w:rsidRPr="00F94D87" w14:paraId="4CDB21B1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EE1EFE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27C2C7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68113A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69BC1C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23013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F94D87" w:rsidRPr="00F94D87" w14:paraId="73074AA3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A86682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14F96" w14:textId="05F66330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Прийом, реєстрація заяви оператора ринку та формування справи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06F678" w14:textId="0A543085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2A56A6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AFE36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Протягом 1 дня</w:t>
            </w:r>
          </w:p>
        </w:tc>
      </w:tr>
      <w:tr w:rsidR="00F94D87" w:rsidRPr="00F94D87" w14:paraId="75ADA92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73411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255CE5" w14:textId="7C7DB7DE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Передача пакету документів заявника уповноваженому представнику структурного підрозділу територіального органу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69AC9C" w14:textId="766975F3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0FBA56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C2AAA" w14:textId="7667F014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другого календарного дня</w:t>
            </w:r>
          </w:p>
        </w:tc>
      </w:tr>
      <w:tr w:rsidR="00F94D87" w:rsidRPr="00F94D87" w14:paraId="5A98B3D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3F1E81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81EC8A" w14:textId="41F45624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Реєстрація пакету документів, як вхідної кореспонденції структурним підрозділом територіального органу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5C5462" w14:textId="7B17354B" w:rsidR="00F94D87" w:rsidRPr="00F94D87" w:rsidRDefault="006671B2" w:rsidP="00F94D87">
            <w:pPr>
              <w:widowControl w:val="0"/>
              <w:spacing w:after="40"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Уповноважений представник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1DFCCF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8566F" w14:textId="750AE5CF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другого календарного дня</w:t>
            </w:r>
          </w:p>
        </w:tc>
      </w:tr>
      <w:tr w:rsidR="00F94D87" w:rsidRPr="00F94D87" w14:paraId="6902495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3939CB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6AFB09" w14:textId="458AF6A2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Передача пакету документів заявника керівнику структурного підрозділу територіального органу Держпродспоживслужби для накладання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B2DFC5" w14:textId="77777777" w:rsid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  <w:p w14:paraId="402D5D63" w14:textId="407B0741" w:rsidR="006671B2" w:rsidRPr="00F94D87" w:rsidRDefault="006671B2" w:rsidP="006671B2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485FE" w14:textId="44CB0F72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r w:rsidR="00F94D87"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531BF" w14:textId="0067A342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другого календарного дня</w:t>
            </w:r>
          </w:p>
        </w:tc>
      </w:tr>
      <w:tr w:rsidR="00F94D87" w:rsidRPr="00F94D87" w14:paraId="2BA48A66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C5AB50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49E1D3" w14:textId="49523F89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Передача до виконання пакету документів виконавцю структурного підрозділу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691340" w14:textId="642EFF5C" w:rsidR="00F94D87" w:rsidRPr="00F94D87" w:rsidRDefault="006671B2" w:rsidP="006671B2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144F8C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C8AC6" w14:textId="1E049F55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третього календарного дня</w:t>
            </w:r>
          </w:p>
        </w:tc>
      </w:tr>
      <w:tr w:rsidR="00F94D87" w:rsidRPr="00F94D87" w14:paraId="64CA3DE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E34EF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19269" w14:textId="6CBB8DDF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Вивчення наданого пакету на предмет достовірності наданих відомостей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A9AF7" w14:textId="442F17C4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7C0E3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F0F" w14:textId="7E747B31" w:rsidR="00F94D87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четвертого календарного дня</w:t>
            </w:r>
          </w:p>
        </w:tc>
      </w:tr>
      <w:tr w:rsidR="006671B2" w:rsidRPr="00F94D87" w14:paraId="67CE9163" w14:textId="77777777" w:rsidTr="003C49F6">
        <w:trPr>
          <w:jc w:val="center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2B9C5" w14:textId="5CC70D25" w:rsidR="006671B2" w:rsidRPr="00607589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60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У разі наявності підстав для відмови у державній реєстрації потужност</w:t>
            </w:r>
            <w:r w:rsidR="00607589" w:rsidRPr="0060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D7874" w14:textId="77777777" w:rsidR="006671B2" w:rsidRPr="00F94D87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BB0" w14:textId="77777777" w:rsidR="006671B2" w:rsidRDefault="006671B2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F94D87" w:rsidRPr="00F94D87" w14:paraId="32C98ED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6F1B6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39E92" w14:textId="164C85F7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Інформування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Держпродспоживслужби через службову записку за підписом керівника структурного підрозділу територіального органу Держпродспоживслужби із вказанням підстав про відмову у державній реєстрації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3C817" w14:textId="77777777" w:rsid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Відповідальний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виконавець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  <w:p w14:paraId="3EC71D82" w14:textId="029AA7A0" w:rsidR="00607589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3CF3A" w14:textId="2E634D2A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В, </w:t>
            </w:r>
            <w:r w:rsidR="00F94D87"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D75" w14:textId="6132635D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Не пізніше шостого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календарного дня</w:t>
            </w:r>
          </w:p>
        </w:tc>
      </w:tr>
      <w:tr w:rsidR="00F94D87" w:rsidRPr="00F94D87" w14:paraId="6039C33D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AD1C8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EDE83" w14:textId="377496AC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Оформлення проекту рішення територіального органу Держпродспоживслужби про відмову у державній реєстрації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B4757" w14:textId="726136F4" w:rsidR="00F94D87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CC945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ECA" w14:textId="3A1FD5FE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восьмого календарного дня</w:t>
            </w:r>
          </w:p>
        </w:tc>
      </w:tr>
      <w:tr w:rsidR="00F94D87" w:rsidRPr="00F94D87" w14:paraId="5DE005B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3DC6B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2BC5DE" w14:textId="781AA9D9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Підписання рішення територіального органу Держпродспоживслужби про відмову у державній реєстрації потужності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2BD0D" w14:textId="206F70CB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або його заступник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B68AC" w14:textId="3C2A2D3F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D3A" w14:textId="2DF64C95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восьмого календарного дня</w:t>
            </w:r>
          </w:p>
        </w:tc>
      </w:tr>
      <w:tr w:rsidR="00F94D87" w:rsidRPr="00F94D87" w14:paraId="54E37B8E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9249C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E65A9" w14:textId="028EFAF4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Здійснення запису про відмову у державній реєстрації потужності оператора ринку через програмне забезпечення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F014E" w14:textId="473D22DD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1B905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AB0" w14:textId="23AB41BE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десятого календарного дня</w:t>
            </w:r>
          </w:p>
        </w:tc>
      </w:tr>
      <w:tr w:rsidR="00607589" w:rsidRPr="00F94D87" w14:paraId="2A2A0C23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7EA93" w14:textId="77777777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EEA22" w14:textId="17592D80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Направлення територіальним органом Держпродспоживслужби копії рішення про відмову у державній реєстрації потужності до структурного підрозділу територіального органу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9074B" w14:textId="32C22C78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9CC7E" w14:textId="0EAF1CBB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E8A" w14:textId="39050D9E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десятого календарного дня</w:t>
            </w:r>
          </w:p>
        </w:tc>
      </w:tr>
      <w:tr w:rsidR="00F94D87" w:rsidRPr="00F94D87" w14:paraId="24F602C2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052B0" w14:textId="77777777" w:rsidR="00F94D87" w:rsidRPr="00F94D87" w:rsidRDefault="00F94D87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0F7B7" w14:textId="63E1FAAA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Надання (надсилання) копії рішення про відмову у державній реєстрації потужності оператору ринку ЦНАПу для вручання оператору ринку або уповноваженій особі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BEFC9" w14:textId="7ADD85F8" w:rsidR="00F94D87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AD6B9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5D8" w14:textId="5DD1489D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Впродовж 3-ох робочих днів з дня прийняття рішення</w:t>
            </w:r>
          </w:p>
        </w:tc>
      </w:tr>
      <w:tr w:rsidR="00607589" w:rsidRPr="00F94D87" w14:paraId="2EAFBBB9" w14:textId="77777777" w:rsidTr="009249AA">
        <w:trPr>
          <w:jc w:val="center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21904" w14:textId="70930153" w:rsidR="00607589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0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 xml:space="preserve">У разі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відсутност</w:t>
            </w:r>
            <w:r w:rsidRPr="0060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 xml:space="preserve"> підстав для відмови у державній реєстрації потужності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684FE" w14:textId="77777777" w:rsidR="00607589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FC9C" w14:textId="77777777" w:rsidR="00607589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</w:p>
        </w:tc>
      </w:tr>
      <w:tr w:rsidR="00F94D87" w:rsidRPr="00F94D87" w14:paraId="1F10D979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4844D" w14:textId="6D15E21C" w:rsidR="00F94D87" w:rsidRPr="00F94D87" w:rsidRDefault="006671B2" w:rsidP="00F94D8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43DD0" w14:textId="0D3CCD44" w:rsidR="00F94D87" w:rsidRPr="00F94D87" w:rsidRDefault="006671B2" w:rsidP="00F94D87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Внесення відомостей до електронної форми реєстру, програмного забезпечення та надання відомостей до територіального органу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4251D" w14:textId="79BF488E" w:rsidR="00F94D87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08720" w14:textId="77777777" w:rsidR="00F94D87" w:rsidRPr="00F94D87" w:rsidRDefault="00F94D87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C4D" w14:textId="27EFB186" w:rsidR="00F94D87" w:rsidRPr="00F94D87" w:rsidRDefault="00607589" w:rsidP="00F94D87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шостого календарного дня</w:t>
            </w:r>
          </w:p>
        </w:tc>
      </w:tr>
      <w:tr w:rsidR="00607589" w:rsidRPr="00F94D87" w14:paraId="73D4CC6A" w14:textId="77777777" w:rsidTr="006671B2">
        <w:trPr>
          <w:trHeight w:val="77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3C867" w14:textId="1A64E305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C0244" w14:textId="5DF4E295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Узагальнення відомостей державного реєстру потужностей операторів ринку області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FC54B" w14:textId="531AC631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098DF" w14:textId="4532215D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FEA" w14:textId="07EE7914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восьмого календарного дня</w:t>
            </w:r>
          </w:p>
        </w:tc>
      </w:tr>
      <w:tr w:rsidR="00607589" w:rsidRPr="00F94D87" w14:paraId="5B3B7F83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2FAD0" w14:textId="2480D95F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CE496" w14:textId="57ECA493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Оформлення проекту рішення територіального органу Держпродспоживслужби про державну реєстрацію потужностей операторів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A4554" w14:textId="43E191DB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284A7" w14:textId="467664A1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C09" w14:textId="4D07CBB2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восьмого календарного дня</w:t>
            </w:r>
          </w:p>
        </w:tc>
      </w:tr>
      <w:tr w:rsidR="00607589" w:rsidRPr="00F94D87" w14:paraId="0D33A8AB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7A361" w14:textId="6B9C4C26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36B1A" w14:textId="686F8C17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Підписання рішення територіального органу Держпродспоживслужби про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державну реєстрацію потужностей операторів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07407" w14:textId="0538303E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Керівник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Держпродспоживслужби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або його заступник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FF122" w14:textId="17748865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EDA" w14:textId="01CF1E4E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восьмого календарного дня</w:t>
            </w:r>
          </w:p>
        </w:tc>
      </w:tr>
      <w:tr w:rsidR="00607589" w:rsidRPr="00F94D87" w14:paraId="3150D25C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A6B2F" w14:textId="2F85C2F6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EB35C" w14:textId="6246B81E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Здійснення державної реєстрації потужностей операторів ринку через програмне забезпечення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37642" w14:textId="47AF8B8C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CB7C5" w14:textId="1536E85B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B971" w14:textId="2A166EB0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десятого календарного дня</w:t>
            </w:r>
          </w:p>
        </w:tc>
      </w:tr>
      <w:tr w:rsidR="00607589" w:rsidRPr="00F94D87" w14:paraId="7AA763C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2D0A4" w14:textId="2293A203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AE669" w14:textId="1FE7250B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Направлення територіальним органом Держпродспоживслужби копії рішення про державну реєстрацію потужностей операторів ринку до структурних підрозділів територіального органу Держпродспоживслужби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64B40" w14:textId="74C75896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18886" w14:textId="3F2A2DD8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850" w14:textId="7D57CA73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десятого календарного дня</w:t>
            </w:r>
          </w:p>
        </w:tc>
      </w:tr>
      <w:tr w:rsidR="00607589" w:rsidRPr="00F94D87" w14:paraId="05FF211F" w14:textId="77777777" w:rsidTr="00C2708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CF8BC" w14:textId="47C8DE55" w:rsidR="00607589" w:rsidRPr="00F94D87" w:rsidRDefault="00607589" w:rsidP="00607589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EF394" w14:textId="0DC2C495" w:rsidR="00607589" w:rsidRPr="00F94D87" w:rsidRDefault="00607589" w:rsidP="00607589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Надання (надсилання) копії рішення про державну реєстрацію потужностей ЦНАПу для вручання оператору ринку або уповноваженій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ab/>
              <w:t>особі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33FD8" w14:textId="5F1CB93E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територіального органу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53276" w14:textId="2463B92D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F6A" w14:textId="0E4DEE08" w:rsidR="00607589" w:rsidRPr="00F94D87" w:rsidRDefault="00607589" w:rsidP="00607589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Впродовж 3-ох робочих днів з дня прийняття рішення</w:t>
            </w:r>
          </w:p>
        </w:tc>
      </w:tr>
      <w:tr w:rsidR="00F94D87" w:rsidRPr="00F94D87" w14:paraId="0995033C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ACD" w14:textId="77777777" w:rsidR="00F94D87" w:rsidRPr="00F94D87" w:rsidRDefault="00F94D87" w:rsidP="00F94D87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5837" w14:textId="77777777" w:rsidR="00F94D87" w:rsidRPr="00F94D87" w:rsidRDefault="00F94D87" w:rsidP="00F94D87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10</w:t>
            </w:r>
          </w:p>
        </w:tc>
      </w:tr>
      <w:tr w:rsidR="00F94D87" w:rsidRPr="00F94D87" w14:paraId="3273F8A3" w14:textId="77777777" w:rsidTr="00C27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2B0" w14:textId="62A7B2AE" w:rsidR="00F94D87" w:rsidRPr="00F94D87" w:rsidRDefault="00F94D87" w:rsidP="00F94D87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(передбачена законодавством)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851F" w14:textId="77777777" w:rsidR="00F94D87" w:rsidRPr="00F94D87" w:rsidRDefault="00F94D87" w:rsidP="00F94D87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10</w:t>
            </w:r>
          </w:p>
        </w:tc>
      </w:tr>
    </w:tbl>
    <w:p w14:paraId="26166127" w14:textId="77777777" w:rsidR="00F94D87" w:rsidRPr="00F94D87" w:rsidRDefault="00F94D87" w:rsidP="00F94D87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4399EA23" w14:textId="07F51C66" w:rsidR="001F3C54" w:rsidRDefault="00F94D87" w:rsidP="00F94D87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</w:pPr>
      <w:r w:rsidRPr="00F94D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  <w:r w:rsidR="001F3C5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  <w:br w:type="page"/>
      </w:r>
    </w:p>
    <w:p w14:paraId="55C0316F" w14:textId="77777777" w:rsidR="00C43629" w:rsidRDefault="00C43629" w:rsidP="00C43629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4935578D" w14:textId="782676D5" w:rsidR="00C43629" w:rsidRDefault="00C43629" w:rsidP="00C43629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</w:t>
      </w:r>
    </w:p>
    <w:p w14:paraId="1E6C891A" w14:textId="77777777" w:rsidR="00C43629" w:rsidRDefault="00C43629" w:rsidP="00C43629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4D46BDC" w14:textId="77777777" w:rsidR="00C43629" w:rsidRDefault="00C43629" w:rsidP="00C43629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68BD4819" w14:textId="77777777" w:rsidR="001F3C54" w:rsidRPr="001F3C54" w:rsidRDefault="001F3C54" w:rsidP="001F3C54">
      <w:pPr>
        <w:shd w:val="clear" w:color="auto" w:fill="FFFFFF"/>
        <w:spacing w:after="0" w:line="182" w:lineRule="atLeast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Порядку проведення державної реєстрації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потужностей, ведення державного реєстру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потужностей операторів ринку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та надання інформації з нього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заінтересованим суб’єктам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(пункт 2.1 розділу ІІ)</w:t>
      </w:r>
    </w:p>
    <w:p w14:paraId="4083D680" w14:textId="77777777" w:rsidR="001F3C54" w:rsidRPr="001F3C54" w:rsidRDefault="001F3C54" w:rsidP="001F3C54">
      <w:pPr>
        <w:shd w:val="clear" w:color="auto" w:fill="FFFFFF"/>
        <w:spacing w:before="283" w:after="113" w:line="20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F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  <w:r w:rsidRPr="001F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про державну реєстрацію потужності</w:t>
      </w:r>
    </w:p>
    <w:p w14:paraId="1CC8CA2A" w14:textId="35385752" w:rsidR="001F3C54" w:rsidRPr="001F3C54" w:rsidRDefault="001F3C54" w:rsidP="001F3C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Найменування або прізвище, iм’я, по батькові (за наявності) оператора ринку ____________</w:t>
      </w:r>
    </w:p>
    <w:p w14:paraId="5E0062AE" w14:textId="74A8C96E" w:rsidR="001F3C54" w:rsidRPr="001F3C54" w:rsidRDefault="001F3C54" w:rsidP="001F3C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4FD69A9B" w14:textId="77777777" w:rsidR="001F3C54" w:rsidRPr="001F3C54" w:rsidRDefault="001F3C54" w:rsidP="001F3C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2"/>
        <w:gridCol w:w="4104"/>
        <w:gridCol w:w="2323"/>
      </w:tblGrid>
      <w:tr w:rsidR="001F3C54" w:rsidRPr="001F3C54" w14:paraId="00F01E5D" w14:textId="77777777" w:rsidTr="001F3C54">
        <w:trPr>
          <w:trHeight w:val="60"/>
        </w:trPr>
        <w:tc>
          <w:tcPr>
            <w:tcW w:w="1666" w:type="pct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6F60DA3" w14:textId="77777777" w:rsidR="001F3C54" w:rsidRPr="001F3C54" w:rsidRDefault="001F3C54" w:rsidP="001F3C54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ru-RU" w:eastAsia="uk-UA"/>
              </w:rPr>
              <w:drawing>
                <wp:inline distT="0" distB="0" distL="0" distR="0" wp14:anchorId="6F531437" wp14:editId="613B7106">
                  <wp:extent cx="114300" cy="11430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Юридична особа</w:t>
            </w:r>
          </w:p>
        </w:tc>
        <w:tc>
          <w:tcPr>
            <w:tcW w:w="2129" w:type="pct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876248B" w14:textId="77777777" w:rsidR="001F3C54" w:rsidRPr="001F3C54" w:rsidRDefault="001F3C54" w:rsidP="001F3C54">
            <w:pPr>
              <w:spacing w:after="0" w:line="193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ru-RU" w:eastAsia="uk-UA"/>
              </w:rPr>
              <w:drawing>
                <wp:inline distT="0" distB="0" distL="0" distR="0" wp14:anchorId="406BD483" wp14:editId="03C47D8F">
                  <wp:extent cx="114300" cy="114300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Фізична особа - підприємець</w:t>
            </w:r>
          </w:p>
        </w:tc>
        <w:tc>
          <w:tcPr>
            <w:tcW w:w="1205" w:type="pct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764CBED" w14:textId="77777777" w:rsidR="001F3C54" w:rsidRPr="001F3C54" w:rsidRDefault="001F3C54" w:rsidP="001F3C54">
            <w:pPr>
              <w:spacing w:after="0" w:line="193" w:lineRule="atLeast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ru-RU" w:eastAsia="uk-UA"/>
              </w:rPr>
              <w:drawing>
                <wp:inline distT="0" distB="0" distL="0" distR="0" wp14:anchorId="241193DE" wp14:editId="516278F9">
                  <wp:extent cx="114300" cy="114300"/>
                  <wp:effectExtent l="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Фізична особа</w:t>
            </w:r>
          </w:p>
        </w:tc>
      </w:tr>
    </w:tbl>
    <w:p w14:paraId="16C99268" w14:textId="77777777" w:rsidR="001F3C54" w:rsidRPr="001F3C54" w:rsidRDefault="001F3C54" w:rsidP="001F3C5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4E02513C" w14:textId="00A05F7F" w:rsidR="001F3C54" w:rsidRPr="001F3C54" w:rsidRDefault="001F3C54" w:rsidP="001F3C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Код згідно з ЄДРПОУ ___________________________________________________________</w:t>
      </w:r>
    </w:p>
    <w:p w14:paraId="49F34BA4" w14:textId="1F7586A0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юридичних осіб, фізичних осіб - підприємців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</w:p>
    <w:p w14:paraId="15A9B6D6" w14:textId="5B056CDB" w:rsidR="001F3C54" w:rsidRPr="001F3C54" w:rsidRDefault="001F3C54" w:rsidP="001F3C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2AD7E491" w14:textId="7A2DFC60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Контактний телефон _________________ Е-mail _______________________________________</w:t>
      </w:r>
    </w:p>
    <w:p w14:paraId="37686AB0" w14:textId="6D5DF765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Реєстраційний номер облікової картки платника податків або серія (за наявності) та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паспорта (для фізичних осіб, які через свої релігійні переконання відмовляються від прийняття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реєстраційного номера облікової картки платника податків та повідомили про це відповідний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контролюючий орган і мають відмітку у паспорті)______________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</w:t>
      </w:r>
    </w:p>
    <w:p w14:paraId="3BD1BDE0" w14:textId="266D84C5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Місце проживання оператора ринку (для фізичних осіб - підприємців та фізичних осіб)__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</w:p>
    <w:p w14:paraId="786E0F57" w14:textId="44DDBC08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Назва потужності (прізвище, ім’я, по батькові (за наявності) для фізичної особи)_________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</w:p>
    <w:p w14:paraId="314F7C0F" w14:textId="28B7DD30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Адреса розташування потужності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</w:t>
      </w:r>
    </w:p>
    <w:p w14:paraId="5157243D" w14:textId="77777777" w:rsidR="001F3C54" w:rsidRPr="001F3C54" w:rsidRDefault="001F3C54" w:rsidP="001F3C54">
      <w:pPr>
        <w:shd w:val="clear" w:color="auto" w:fill="FFFFFF"/>
        <w:spacing w:before="57"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Вид оператора ринку за класифікацією суб’єктів господарювання, визначеною Господарським кодексом України (крім фізичних осіб)</w:t>
      </w:r>
    </w:p>
    <w:p w14:paraId="17161B5E" w14:textId="77777777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 wp14:anchorId="49C7D3AE" wp14:editId="12109148">
            <wp:extent cx="114300" cy="1143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суб’єкт мікропідприємництва                                      </w:t>
      </w:r>
      <w:r w:rsidRPr="001F3C54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 wp14:anchorId="20A22D2F" wp14:editId="08AC1621">
            <wp:extent cx="114300" cy="114300"/>
            <wp:effectExtent l="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суб’єкт середнього підприємництва</w:t>
      </w:r>
    </w:p>
    <w:p w14:paraId="4624AB82" w14:textId="77777777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 wp14:anchorId="4CD9B05A" wp14:editId="564F47A8">
            <wp:extent cx="114300" cy="11430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суб’єкт малого підприємництва                                   </w:t>
      </w:r>
      <w:r w:rsidRPr="001F3C54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 wp14:anchorId="3A7CE581" wp14:editId="647D47CC">
            <wp:extent cx="114300" cy="114300"/>
            <wp:effectExtent l="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суб’єкт великого підприємництва</w:t>
      </w:r>
    </w:p>
    <w:p w14:paraId="07D46336" w14:textId="77777777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Опис потужності:</w:t>
      </w:r>
    </w:p>
    <w:p w14:paraId="79EEBEF1" w14:textId="77777777" w:rsidR="001F3C54" w:rsidRPr="001F3C54" w:rsidRDefault="001F3C54" w:rsidP="001F3C54">
      <w:pPr>
        <w:shd w:val="clear" w:color="auto" w:fill="FFFFFF"/>
        <w:spacing w:before="57" w:after="0" w:line="1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6"/>
        <w:gridCol w:w="7611"/>
        <w:gridCol w:w="1212"/>
      </w:tblGrid>
      <w:tr w:rsidR="001F3C54" w:rsidRPr="001F3C54" w14:paraId="39784B27" w14:textId="77777777" w:rsidTr="001F3C54">
        <w:trPr>
          <w:trHeight w:val="6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572029D2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39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07F14A50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Вид діяльності, що планується здійснювати з використанням потужності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4EBC9D8D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Відмітка</w:t>
            </w:r>
          </w:p>
          <w:p w14:paraId="34F516CB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(+ або V)</w:t>
            </w:r>
          </w:p>
        </w:tc>
      </w:tr>
      <w:tr w:rsidR="001F3C54" w:rsidRPr="001F3C54" w14:paraId="59E9CE6D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6E7F61A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BD9229B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4116202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</w:tr>
      <w:tr w:rsidR="001F3C54" w:rsidRPr="001F3C54" w14:paraId="51863F15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9A1146B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399517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Первинне виробництво сільськогосподарської продукції, за видами господарської діяльності: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BD83C1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1DECE1A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62EE4B8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009236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Вирощування врожаю (рослинництво)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99F5DD0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A22E450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95979C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lastRenderedPageBreak/>
              <w:t>8.1.2.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4E5FF2E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Розведення та/або утримання сільськогосподарських тварин, у тому числі: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7B7AC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2ACE402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DA2BB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578DFB0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ВРХ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92A312A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E6FDABC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41311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04C5410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свині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4197F8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03192FF1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74FBE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32ADFC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вівці та/або кози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ED882A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12F84BB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0D9FC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0C7838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коні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10E6B1A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08B705D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3F44B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DBFAC8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свійська птиця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D4B65C1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0428F6E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24BB1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5FEB01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зайцеподібні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6B59C85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0C4FC5E0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54535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7BCB85B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бджоли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DF93414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02EBBCA9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6D759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3605B4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інші сільськогосподарські тварини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29AAD01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1F01267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8B142D7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35DF95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Змішане фермерство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3406A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5123405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1FEDC2C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9516D4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Мисливство (полювання на тварин)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3D95EB0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E5241AB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662727D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8.1.5.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9CF1AF8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Рибальство (добування дикої риби та/або диких водних безхребетних)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94A9C1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0ABAEA5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4AE22E0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8.1.6.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77CB87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Рибництво (розведення та/або утримання риби та/або водних безхребетних у контрольованих умовах)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BDF6A3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50A605C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557CB34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8.1.7.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41B6CD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Інший вид первинного виробництва (зазначити)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2C7ED4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F92485A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A1F7EFD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5579A6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Переробка та виробництво харчових 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CCA7FB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E0A1E48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9EE795D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CB2C85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Переробка фруктів та/або овочів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1BD80F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A600DBB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538AF16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AA1AD71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Виробництво рослинних олій та/або жирів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787A8B5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A220D91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1FBA0F1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D5A078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Виробництво харчових продуктів на основі зерна (зернових культур), крохмалю та/або продуктів з крохмалю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1DEC46B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26657045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76F6592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798491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Виробництво хлібобулочних та/або борошняних виробів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39A46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3A519B3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C90C0EA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8.2.5.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8458D2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Виробництво напоїв, у тому числі: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F45CBB8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D5958E1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7C948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51C685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безалкогольних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0399D6E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7ECB8E9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39A5C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035A778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алкогольних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5667D96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ED67152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F7E9F2F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8.2.6.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7AD8E11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Виробництво інших харчових 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82FDA4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9D198CF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3C63D38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274C6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Торгівля, транспортування та/або зберігання харчових 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9AC15EA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DFD54B1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8E01F21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8.3.1.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9171E5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Гуртова торгівля харчовими продуктами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6F3B1EA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035464C3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AA6FFB6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8.3.2.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3ACDB3B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Роздрібна торгівля харчовими продуктами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96358D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41EE6C9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7AA3DD8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8.3.3.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913595E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Транспортування харчових 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584A15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A23CEC1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88A115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8.3.4.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4988A6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Зберігання харчових 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B02813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2B444CB2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ABFAFA8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6C2AF4E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Громадське харчування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CBECB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B34FB38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63F0F05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8.4.1.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C302228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Діяльність закладів громадського харчування (стаціонарні потужності)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D9B55B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DC58E2A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A9658BA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8.4.2.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4D6B90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Діяльність закладів громадського харчування: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C860DA0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6C13B41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BAF56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2B2340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рухома потужність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983F7A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6E91066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B082C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457ED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тимчасова потужність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D1FC58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AEAB6F3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62702C7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8.4.3.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1A27186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Діяльність з доставки готових страв, напоїв, а також кейтерингу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FE9E45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C42A810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979748C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lastRenderedPageBreak/>
              <w:t>8.5.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3790AC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Інші види діяльності пов’язані з поводженням з харчовими продуктами (зазначити)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59E7D8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28310D8" w14:textId="77777777" w:rsidTr="001F3C54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4366FF7" w14:textId="77777777" w:rsidR="001F3C54" w:rsidRPr="001F3C54" w:rsidRDefault="001F3C54" w:rsidP="001F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8.6.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7721DD6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Використання потужності з метою здійснення обігу харчових продуктів за виключенням їх виробництва та/або зберігання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FEF830B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6929EBC2" w14:textId="77777777" w:rsidR="001F3C54" w:rsidRPr="001F3C54" w:rsidRDefault="001F3C54" w:rsidP="001F3C54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84661A6" w14:textId="4E24D7B5" w:rsidR="001F3C54" w:rsidRPr="001F3C54" w:rsidRDefault="001F3C54" w:rsidP="001F3C54">
      <w:pPr>
        <w:shd w:val="clear" w:color="auto" w:fill="FFFFFF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Перелік харчових продуктів, виробництво та/або обіг яких планується здійснювати (крім тих, виробництво та/або обіг яких потребує отримання експлуатаційного дозволу)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1"/>
        <w:gridCol w:w="7668"/>
        <w:gridCol w:w="1220"/>
      </w:tblGrid>
      <w:tr w:rsidR="001F3C54" w:rsidRPr="001F3C54" w14:paraId="2ED70D1D" w14:textId="77777777" w:rsidTr="001F3C54">
        <w:trPr>
          <w:trHeight w:val="60"/>
        </w:trPr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0F1CCD90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39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5F06BFE3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Перелік харчових продуктів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20FC589C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Відмітка</w:t>
            </w:r>
          </w:p>
          <w:p w14:paraId="0BE016CA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(+ або V)</w:t>
            </w:r>
          </w:p>
        </w:tc>
      </w:tr>
      <w:tr w:rsidR="001F3C54" w:rsidRPr="001F3C54" w14:paraId="754038E5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B1EE130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AB1A523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C18FA1E" w14:textId="77777777" w:rsidR="001F3C54" w:rsidRPr="001F3C54" w:rsidRDefault="001F3C54" w:rsidP="001F3C54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</w:tr>
      <w:tr w:rsidR="001F3C54" w:rsidRPr="001F3C54" w14:paraId="6C0EA8A1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D3ADE4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2C2D1AE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Продукти бджільництва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6F2CF7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05D48563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9680780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6F47943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Зернові, бобові культури та продукти їх переробляння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BDCEF4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EAB94BB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50DCD7A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9.3.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D90A919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Фрукти та продукти їх переробляння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1B3ED8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5B06C2E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759131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9.4.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4FD4AD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Овочі та продукти їх переробляння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9EBC73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5F131B9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C3309D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9.5.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D0D2A84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Інша рослинна продукція не зазначена в підпунктах 9.2-9.4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24C04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16E0A49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10D361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9.6.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2E0C674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Молоко та молочні продукти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2A2F8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0627D87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58D6DDB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9.7.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DBC5481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М’ясо та м’ясні продукти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D02D2EC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20D4CEC9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767D0F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9.8.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5A87A32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Свійська птиця та яйця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64B086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2ED4D0F1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F0DC12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9.9.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DB79742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Риба, інші водні біоресурси та харчова продукція з 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32B19E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7F51B43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5607F8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9.10.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2090694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Інша тваринна продукція не зазначена в підпунктах 9.6-9.9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F4E3FD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13537AE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123BD98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9.11.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32D4B68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Чай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B2B0CB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938CA6D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1A6098C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9.12.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9C8F2BC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Кава та кавозамінники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D14FCF3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7E725925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2BA6A6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9.13.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90AABD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Какао та продукти з нього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CF2ECC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7C59270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3D2CBE5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9.14.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8E4AF9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Алкогольні напої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30EB75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3B42EA8D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18FAF99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9.15.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050636A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Безалкогольні напої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702A362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C45FF88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12CF81F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9.16.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537690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Інші напої не зазначені в підпунктах 9.11-9.15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9C4C1A7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2AE4ACB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68D268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9.17.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5CBCFE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Цукор і кондитерські вироби з цукру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4CB349D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5F31FB9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3782CD4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9.18.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45CAE1C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Крохмаль і крохмалепродукти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29053F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1E4BFF55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14DDFD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9.19.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A950E53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Шоколад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35350B5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27310A3E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48F0F9B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9.20.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F56A232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Тваринні та рослинні жири й олії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9993FCB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581612B7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F62A88B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9.21.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6E8A2EE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Насіння олійних культур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5BF546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9624EA4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1D8D6C3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9.22.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6B3E056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Прянощі та приправи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B239DA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4B46A985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6FB960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9.23.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82782DF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Харчові добавки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ED48D89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5B4B67C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0E22A9B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9.24.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F896D9A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Хліб, хлібобулочні та борошняні вироби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63E78FF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1F3C54" w:rsidRPr="001F3C54" w14:paraId="6C58424D" w14:textId="77777777" w:rsidTr="001F3C54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C9A9CE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9.25.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3844038" w14:textId="77777777" w:rsidR="001F3C54" w:rsidRPr="001F3C54" w:rsidRDefault="001F3C54" w:rsidP="001F3C54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uk-UA"/>
              </w:rPr>
              <w:t>Інша продукція, не зазначена в пунктах 9.17-9.24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3A06BE6" w14:textId="77777777" w:rsidR="001F3C54" w:rsidRPr="001F3C54" w:rsidRDefault="001F3C54" w:rsidP="001F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10F4659C" w14:textId="77777777" w:rsidR="001F3C54" w:rsidRPr="001F3C54" w:rsidRDefault="001F3C54" w:rsidP="001F3C54">
      <w:pPr>
        <w:shd w:val="clear" w:color="auto" w:fill="FFFFFF"/>
        <w:spacing w:after="0" w:line="193" w:lineRule="atLeast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F3C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Цією заявою підтверджую, що потужність не використовуватиметься для виробництва та/або зберігання харчових продуктів тваринного походження, що потребують отримання експлуатаційного дозволу.</w:t>
      </w:r>
    </w:p>
    <w:p w14:paraId="0AEAB8DD" w14:textId="77777777" w:rsidR="001F3C54" w:rsidRPr="001F3C54" w:rsidRDefault="001F3C54" w:rsidP="001F3C54">
      <w:pPr>
        <w:shd w:val="clear" w:color="auto" w:fill="FFFFFF"/>
        <w:spacing w:after="0" w:line="193" w:lineRule="atLeast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1767"/>
        <w:gridCol w:w="3696"/>
      </w:tblGrid>
      <w:tr w:rsidR="001F3C54" w:rsidRPr="001F3C54" w14:paraId="08079436" w14:textId="77777777" w:rsidTr="001F3C54">
        <w:trPr>
          <w:trHeight w:val="843"/>
        </w:trPr>
        <w:tc>
          <w:tcPr>
            <w:tcW w:w="4176" w:type="dxa"/>
            <w:hideMark/>
          </w:tcPr>
          <w:p w14:paraId="69C2A9AF" w14:textId="77777777" w:rsidR="001F3C54" w:rsidRPr="001F3C54" w:rsidRDefault="001F3C54" w:rsidP="001F3C54">
            <w:pPr>
              <w:shd w:val="clear" w:color="auto" w:fill="FFFFFF"/>
              <w:spacing w:before="17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_________________________________</w:t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(посада оператора ринку </w:t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br/>
              <w:t>або уповноваженої ним особи)</w:t>
            </w:r>
          </w:p>
        </w:tc>
        <w:tc>
          <w:tcPr>
            <w:tcW w:w="2290" w:type="dxa"/>
            <w:hideMark/>
          </w:tcPr>
          <w:p w14:paraId="6BF48FA3" w14:textId="77777777" w:rsidR="001F3C54" w:rsidRPr="001F3C54" w:rsidRDefault="001F3C54" w:rsidP="001F3C5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__________</w:t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(підпис)</w:t>
            </w:r>
          </w:p>
        </w:tc>
        <w:tc>
          <w:tcPr>
            <w:tcW w:w="3671" w:type="dxa"/>
            <w:hideMark/>
          </w:tcPr>
          <w:p w14:paraId="20376417" w14:textId="77777777" w:rsidR="001F3C54" w:rsidRPr="001F3C54" w:rsidRDefault="001F3C54" w:rsidP="001F3C54">
            <w:pPr>
              <w:shd w:val="clear" w:color="auto" w:fill="FFFFFF"/>
              <w:spacing w:before="17"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_____________________________</w:t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(прізвище, ім’я, по батькові </w:t>
            </w:r>
            <w:r w:rsidRPr="001F3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br/>
              <w:t>(за наявності))</w:t>
            </w:r>
          </w:p>
        </w:tc>
      </w:tr>
      <w:tr w:rsidR="001F3C54" w:rsidRPr="001F3C54" w14:paraId="3A222A44" w14:textId="77777777" w:rsidTr="001F3C54">
        <w:trPr>
          <w:trHeight w:val="617"/>
        </w:trPr>
        <w:tc>
          <w:tcPr>
            <w:tcW w:w="4176" w:type="dxa"/>
            <w:hideMark/>
          </w:tcPr>
          <w:p w14:paraId="25CD8488" w14:textId="77777777" w:rsidR="001F3C54" w:rsidRPr="001F3C54" w:rsidRDefault="001F3C54" w:rsidP="001F3C54">
            <w:pPr>
              <w:shd w:val="clear" w:color="auto" w:fill="FFFFFF"/>
              <w:spacing w:before="170"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«___» ______________ 20__ року</w:t>
            </w:r>
          </w:p>
          <w:p w14:paraId="58620FA0" w14:textId="77777777" w:rsidR="001F3C54" w:rsidRPr="001F3C54" w:rsidRDefault="001F3C54" w:rsidP="001F3C5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1F3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(дата підписання заяви)</w:t>
            </w:r>
          </w:p>
        </w:tc>
        <w:tc>
          <w:tcPr>
            <w:tcW w:w="2290" w:type="dxa"/>
          </w:tcPr>
          <w:p w14:paraId="44FE4C22" w14:textId="77777777" w:rsidR="001F3C54" w:rsidRPr="001F3C54" w:rsidRDefault="001F3C54" w:rsidP="001F3C54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671" w:type="dxa"/>
          </w:tcPr>
          <w:p w14:paraId="6ABB9A7A" w14:textId="77777777" w:rsidR="001F3C54" w:rsidRPr="001F3C54" w:rsidRDefault="001F3C54" w:rsidP="001F3C54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</w:tbl>
    <w:p w14:paraId="4BBC346A" w14:textId="77777777" w:rsidR="001F3C54" w:rsidRPr="001F3C54" w:rsidRDefault="001F3C54" w:rsidP="001F3C54">
      <w:pPr>
        <w:shd w:val="clear" w:color="auto" w:fill="FFFFFF"/>
        <w:spacing w:after="0" w:line="193" w:lineRule="atLeast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E33ABD0" w14:textId="77777777" w:rsidR="001F3C54" w:rsidRPr="001F3C54" w:rsidRDefault="001F3C54" w:rsidP="001F3C54">
      <w:pPr>
        <w:shd w:val="clear" w:color="auto" w:fill="FFFFFF"/>
        <w:spacing w:before="142" w:after="142" w:line="182" w:lineRule="atLeast"/>
        <w:ind w:left="935" w:hanging="935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1F3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Примітка.</w:t>
      </w:r>
      <w:r w:rsidRPr="001F3C5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Персональні дані, зазначені в заяві про державну реєстрацію потужностей, захищаються та обробляються відповідно до Закону України «Про захист персональних даних».</w:t>
      </w:r>
    </w:p>
    <w:p w14:paraId="614F2E26" w14:textId="77777777" w:rsidR="00F94D87" w:rsidRPr="00F94D87" w:rsidRDefault="00F94D87" w:rsidP="00F94D87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uk-UA" w:bidi="uk-UA"/>
        </w:rPr>
      </w:pPr>
    </w:p>
    <w:sectPr w:rsidR="00F94D87" w:rsidRPr="00F94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56"/>
    <w:rsid w:val="001C683F"/>
    <w:rsid w:val="001F3C54"/>
    <w:rsid w:val="003E1156"/>
    <w:rsid w:val="00607589"/>
    <w:rsid w:val="006671B2"/>
    <w:rsid w:val="00AD7264"/>
    <w:rsid w:val="00C43629"/>
    <w:rsid w:val="00F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7F12"/>
  <w15:chartTrackingRefBased/>
  <w15:docId w15:val="{F2C2C4E5-C6ED-4781-B706-7E22CCEA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10882</Words>
  <Characters>6203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5</cp:revision>
  <dcterms:created xsi:type="dcterms:W3CDTF">2024-03-29T12:02:00Z</dcterms:created>
  <dcterms:modified xsi:type="dcterms:W3CDTF">2024-04-27T15:49:00Z</dcterms:modified>
</cp:coreProperties>
</file>