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3D" w:rsidRDefault="006C423D" w:rsidP="006C423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6C423D" w:rsidRDefault="006C423D" w:rsidP="006C423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</w:p>
    <w:p w:rsidR="00341228" w:rsidRPr="00341228" w:rsidRDefault="00341228" w:rsidP="006C423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селищного голови</w:t>
      </w:r>
    </w:p>
    <w:p w:rsidR="006C423D" w:rsidRPr="00341228" w:rsidRDefault="00341228" w:rsidP="006C423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wn9dht3lscgv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№ 153/02-07</w:t>
      </w:r>
    </w:p>
    <w:p w:rsidR="006C423D" w:rsidRDefault="00341228" w:rsidP="006C423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 27.10.2025року</w:t>
      </w:r>
      <w:r w:rsidR="006C4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423D" w:rsidRDefault="006C423D" w:rsidP="006C423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423D" w:rsidRDefault="006C423D" w:rsidP="006C423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423D" w:rsidRPr="00341228" w:rsidRDefault="006C423D" w:rsidP="006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1228">
        <w:rPr>
          <w:rFonts w:ascii="Times New Roman" w:eastAsia="Times New Roman" w:hAnsi="Times New Roman" w:cs="Times New Roman"/>
          <w:b/>
          <w:sz w:val="32"/>
          <w:szCs w:val="32"/>
        </w:rPr>
        <w:t>Політика інформаційної безпеки</w:t>
      </w:r>
    </w:p>
    <w:p w:rsidR="006C423D" w:rsidRDefault="006C423D" w:rsidP="006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23D" w:rsidRDefault="006C423D" w:rsidP="006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b2p5dschvupw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1. Загальні положення</w:t>
      </w:r>
    </w:p>
    <w:p w:rsidR="006C423D" w:rsidRDefault="006C423D" w:rsidP="006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інформаційної безпеки (далі – Політика) встановлює: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цілі інформаційної безпеки, сфери застосування та підходи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щодо організації заходів захисту та управління інформаційною безпекою;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bmxdbbt6fa2p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принципи управління інформаційною безпекою, визначення основних ролей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обовʼязків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рамках забезпечення інформаційної безпеки та інших аспектів,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повʼязаних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із організацією системи захисту інформації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Великобичківській селищній раді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відомості про нормативну документацію інформаційної безпеки, протокол комунікації з питань інформаційної безпеки та відповідальність за порушення вимог інформаційної безпеки.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23D" w:rsidRDefault="006C423D" w:rsidP="006C42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afa5flme78bc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2. Нормативні посилання</w:t>
      </w:r>
    </w:p>
    <w:p w:rsidR="006C423D" w:rsidRDefault="006C423D" w:rsidP="006C42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Стандарти, закони, нормативні документи, вимоги яких були враховані під час складання Політики: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постанова Кабінету Міністрів України від 19 червня 2019 року № 518 „Про затвердження Загальних вимог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обʼєктів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критичної інфраструктури”;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 Адміністрації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Держспецзв’язку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 06.10.2021 № 601 „Про затвердження методичних рекомендацій щодо підвищення рівня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критичної інформаційної інфраструктури”;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Стратегія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України, затверджена Указом Президента України від 26 серпня 2021 року № 447/2021;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ISO/IEC 27000:2018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technology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Security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techniques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Security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Systems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Overview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Vocabulary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(Інформаційні технології. Методи захисту. Системи управління інформаційною безпекою. Огляд та словник);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ISO/IEC 27001:2022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technology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Security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techniques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security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systems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Requirements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(Інформаційні технології. Методи захисту. Вимоги).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228" w:rsidRDefault="00341228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228" w:rsidRDefault="00341228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228" w:rsidRDefault="00341228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228" w:rsidRDefault="00341228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23D" w:rsidRDefault="006C423D" w:rsidP="006C42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x2guv46vrcs1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 Терміни й визначення</w:t>
      </w:r>
    </w:p>
    <w:p w:rsidR="006C423D" w:rsidRDefault="006C423D" w:rsidP="006C42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77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6286"/>
      </w:tblGrid>
      <w:tr w:rsidR="006C423D" w:rsidTr="00AA3468">
        <w:trPr>
          <w:trHeight w:val="20"/>
          <w:tblHeader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Термін/абревіатура</w:t>
            </w:r>
          </w:p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6C423D" w:rsidTr="00AA3468">
        <w:trPr>
          <w:trHeight w:val="2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Інформаційна безпека (ІБ)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процесів та процедур із забезпечення конфіденційності, цілісності та доступності інформації</w:t>
            </w:r>
          </w:p>
          <w:p w:rsidR="006C423D" w:rsidRDefault="006C423D" w:rsidP="00AA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423D" w:rsidTr="00AA3468">
        <w:trPr>
          <w:trHeight w:val="2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Доступність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Властивість інформації, що відповідає за те, щоб вона була доступною для використання на вимогу уповноваженої особи</w:t>
            </w:r>
          </w:p>
        </w:tc>
      </w:tr>
      <w:tr w:rsidR="006C423D" w:rsidTr="00AA3468">
        <w:trPr>
          <w:trHeight w:val="2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Конфіденційність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Властивість інформації, яка відповідає за те, щоб вона була захищеною для використання на вимогу уповноваженої особи</w:t>
            </w:r>
          </w:p>
        </w:tc>
      </w:tr>
      <w:tr w:rsidR="006C423D" w:rsidTr="00AA3468">
        <w:trPr>
          <w:trHeight w:val="2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Цілісність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Властивість інформації, яка гарантує, що вона не зазнавала неавторизованих змін</w:t>
            </w:r>
          </w:p>
        </w:tc>
      </w:tr>
      <w:tr w:rsidR="006C423D" w:rsidTr="00AA3468">
        <w:trPr>
          <w:trHeight w:val="2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 управління інформаційною безпекою (СУІБ)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Pr="00AA2760" w:rsidRDefault="006C423D" w:rsidP="00AA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організаційно-технічних заходів, спрямованих на забезпечення конфіденційності, цілісності та доступності критичної інформації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Великобичківської селищної ради</w:t>
            </w:r>
          </w:p>
        </w:tc>
      </w:tr>
      <w:tr w:rsidR="006C423D" w:rsidTr="00AA3468">
        <w:trPr>
          <w:trHeight w:val="2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Загроза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Можлива причина події ІБ, яка може спричинити порушення ІБ та надалі призвести до збитків компанії</w:t>
            </w:r>
          </w:p>
        </w:tc>
      </w:tr>
      <w:tr w:rsidR="006C423D" w:rsidTr="00AA3468">
        <w:trPr>
          <w:trHeight w:val="2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Інформаційна система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Організаційно-технічна система, у якій реалізується технологія обробки інформації з використанням технічних і програмних засобів</w:t>
            </w:r>
          </w:p>
        </w:tc>
      </w:tr>
      <w:tr w:rsidR="006C423D" w:rsidTr="00AA3468">
        <w:trPr>
          <w:trHeight w:val="2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Інформаційно-комунікаційна система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Сукупність інформаційних та електронних комунікаційних систем, які у процесі обробки інформації діють як єдине ціле</w:t>
            </w:r>
          </w:p>
        </w:tc>
      </w:tr>
      <w:tr w:rsidR="006C423D" w:rsidTr="00AA3468">
        <w:trPr>
          <w:trHeight w:val="2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Електронна комунікаційна система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Сукупність технічних і програмних засобів, призначених для обміну інформацією шляхом передавання, випромінювання та/або приймання її у вигляді сигналів, знаків, звуків, рухомих або нерухомих зображень чи в інший спосіб</w:t>
            </w:r>
          </w:p>
        </w:tc>
      </w:tr>
      <w:tr w:rsidR="006C423D" w:rsidTr="00AA3468">
        <w:trPr>
          <w:trHeight w:val="2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Інформаційні системи, Інформаційні ресурси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Інформаційна система, інформаційно-комунікаційна система, електронна комунікаційна система</w:t>
            </w:r>
          </w:p>
        </w:tc>
      </w:tr>
      <w:tr w:rsidR="006C423D" w:rsidTr="00AA3468">
        <w:trPr>
          <w:trHeight w:val="2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CDTO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3D" w:rsidRDefault="006C423D" w:rsidP="00AA3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Chief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Transformation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Officer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керівник із цифрової трансформації</w:t>
            </w:r>
          </w:p>
        </w:tc>
      </w:tr>
    </w:tbl>
    <w:p w:rsidR="006C423D" w:rsidRDefault="006C423D" w:rsidP="006C42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423D" w:rsidRDefault="006C423D" w:rsidP="006C42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iqh8p9heos4o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4. Система управління інформаційною безпекою</w:t>
      </w:r>
    </w:p>
    <w:p w:rsidR="006C423D" w:rsidRDefault="006C423D" w:rsidP="006C42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дотримання вимог інформаційної безпеки щодо захисту інформації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мінімізації можливих наслідків від порушення конфіденційності, цілісності та доступності інформації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Великобичківська селищна рада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впроваджує та використовує систему управління інформаційною безпекою (СУІБ). 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СУІБ – це комплекс організаційних і технічних заходів, спрямованих на забезпечення конфіденційності, цілісності та доступності інформації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СУІБ базується на ризик-орієнтованому підході, у рамках якого визначається найбільш критична для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органу місцевого самоврядування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інформація, для якої розробляються і впроваджуються економічно доцільні заходи щодо її захисту.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Межі СУІБ визначаються сферою дії Політики і охоплюють всю інформацію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й місця її зберігання (інформаційні системи, документи у паперовому вигляді, зовнішні накопичувачі інформації та інформація, яка стала відома у процесі виконання службових обов’язків) та покривають всіх співробітників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також контрагентів, послуги яких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повʼязані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використанням, обробкою або доступом до інформаційних активів та інформаційних ресурсів 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Основними цілями СУІБ є: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конфіденційності, цілісності та доступності інформаційних активів, які є цінними для </w:t>
      </w:r>
      <w:bookmarkStart w:id="6" w:name="_Hlk212475128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Великобичківської селищної ради</w:t>
      </w:r>
      <w:bookmarkEnd w:id="6"/>
      <w:r>
        <w:rPr>
          <w:rFonts w:ascii="Times New Roman" w:eastAsia="Times New Roman" w:hAnsi="Times New Roman" w:cs="Times New Roman"/>
          <w:sz w:val="28"/>
          <w:szCs w:val="28"/>
        </w:rPr>
        <w:t>, мінімізація можливих збитків від їх порушення;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оперативне та своєчасне виявлення, реєстрація та усунення інцидентів, пов’язаних із порушенням конфіденційності, цілісності та доступності інформаційних активів;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дотримання законодавчих, нормативних, контрактних та інших вимог у сфері інформаційної безпеки;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ефективного обміну інформацією щодо питань інформаційної безпеки з усіма внутрішніми та зовнішніми зацікавленими сторонами;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захист інформації під час її зберігання, обробки та передачі зовнішнім сторонам.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Великобичківська селищна рада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використовує цикл PDCA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для безперервної роботи та розвитку СУІБ. Цей цикл дозволяє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гнучко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реагувати на зміни ландшафту загроз в інформаційній безпеці та на внутрішні зміни 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Великобичківській селищній раді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Цикл PDCA включає такі етапи та дії: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планування СУІБ – на цьому етапі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Великобичківська селищна рада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ставить цілі,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процеси та заходи з інформаційної безпеки для досягнення відповідності вимогам зацікавлених сторін, включаючи керівництво та співробітників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>, клієнтів, партнерів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державні органи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органи 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впровадження та функціонування СУІБ (етап реалізації) – на цьому етапі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Великобичківська селищна рада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впроваджує та реалізує заплановані цілі, процеси та заходи інформаційної безпеки;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моніторинг та перевірка СУІБ (етап перевірки) – на цьому етапі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Великобичківська селищна рада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оцінює ефективність процесів та заходів відповідно до цілей та вимог інформаційної безпеки; 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супровід та удосконалення СУІБ (етап коригування) – на цьому етапі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Великобичківська селищна рада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вживає коригувальних заходів для досягнення відповідності цілям та вимогам інформаційної безпеки.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Період циклу PDCA СУІБ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становить один рік, після чого цикл повторюється.</w:t>
      </w:r>
    </w:p>
    <w:p w:rsidR="006C423D" w:rsidRDefault="006C423D" w:rsidP="006C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23D" w:rsidRPr="006C423D" w:rsidRDefault="006C423D" w:rsidP="006C423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" w:name="_bch43lx1hyl3" w:colFirst="0" w:colLast="0"/>
      <w:bookmarkEnd w:id="7"/>
      <w:r w:rsidRPr="006C423D">
        <w:rPr>
          <w:rFonts w:ascii="Times New Roman" w:hAnsi="Times New Roman" w:cs="Times New Roman"/>
          <w:sz w:val="28"/>
          <w:szCs w:val="28"/>
        </w:rPr>
        <w:t>5. Ролі та відповідальність</w:t>
      </w:r>
    </w:p>
    <w:p w:rsidR="006C423D" w:rsidRPr="006C423D" w:rsidRDefault="006C423D" w:rsidP="006C423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5"/>
        <w:gridCol w:w="6664"/>
      </w:tblGrid>
      <w:tr w:rsidR="006C423D" w:rsidRPr="006C423D" w:rsidTr="00AA3468">
        <w:trPr>
          <w:trHeight w:val="476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Обов’язки</w:t>
            </w:r>
          </w:p>
        </w:tc>
      </w:tr>
      <w:tr w:rsidR="006C423D" w:rsidRPr="006C423D" w:rsidTr="00AA3468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Керівництво Великобичківської селищної ради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Визначає та інформує про стратегічні цілі і завдання Великобичківської селищної ради;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погоджує та затверджує стратегію ІБ і тактичні плани її досягнення;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забезпечує своєчасне виділення ресурсів на впровадження та розвиток СУІБ;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призначає ролі та обов’язки між співробітниками, гарантуючи, що працівники мають необхідні повноваження для організації та впровадження СУІБ;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забезпечує ресурси на навчання, за необхідності, з метою підвищення компетенції працівників, які виконують обов’язки СУІБ;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інформує співробітників Великобичківської селищної ради і зацікавлені сторони про важливість відповідності та наслідки невідповідності вимогам ІБ за допомогою програми підвищення обізнаності у сфері інформаційної безпеки;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 xml:space="preserve">затверджує положення про </w:t>
            </w:r>
            <w:r w:rsidRPr="006C4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комісію з питань</w:t>
            </w: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 xml:space="preserve"> ІБ та його склад, порядок роботи, основні завдання та функції;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координує управління інформаційної безпеки;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погоджує та затверджує нові документи ІБ або зміни до наявних;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оцінює ефективність роботи інформаційної безпеки та засобів захисту;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розглядає результати внутрішніх та зовнішніх аудитів з питань ІБ та затверджує плани їх реалізації</w:t>
            </w:r>
          </w:p>
        </w:tc>
      </w:tr>
      <w:tr w:rsidR="006C423D" w:rsidRPr="006C423D" w:rsidTr="00AA3468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Керівник СУІБ (CDTO)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Створює умови та забезпечує ресурсами, необхідними для встановлення та ефективного функціонування СУІБ;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визначає та переглядає цілі, принципи та вимоги інформаційної безпеки Великобичківської селищної ради відповідно до потреб;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переглядає стратегію ІБ та тактичні плани її реалізації, подає їх на розгляд вищому керівництву;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здійснює контроль за виконанням стратегії ІБ;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визначає ролі та обов’язки співробітників організації, необхідних для організації та функціонування СУІБ;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відповідає за виявлення та документування засобів контролю ІБ і моніторинг їх ефективності;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відповідає за управління загальним ризиком ІБ Великобичківської селищної ради;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 xml:space="preserve">координує діяльність </w:t>
            </w:r>
            <w:r w:rsidRPr="006C4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комісії з питань</w:t>
            </w: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 xml:space="preserve"> ІБ та забезпечує ефективну взаємодію між учасниками;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проводить періодичну оцінку досягнення цілей і дотримання вимог інформаційної безпеки;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комунікує</w:t>
            </w:r>
            <w:proofErr w:type="spellEnd"/>
            <w:r w:rsidRPr="006C423D">
              <w:rPr>
                <w:rFonts w:ascii="Times New Roman" w:hAnsi="Times New Roman" w:cs="Times New Roman"/>
                <w:sz w:val="28"/>
                <w:szCs w:val="28"/>
              </w:rPr>
              <w:t xml:space="preserve"> з вищим керівництвом про досягнення цілей ІБ</w:t>
            </w:r>
          </w:p>
        </w:tc>
      </w:tr>
      <w:tr w:rsidR="006C423D" w:rsidRPr="006C423D" w:rsidTr="00AA3468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Комісія з питань</w:t>
            </w: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 xml:space="preserve"> ІБ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Розробляє стратегію ІБ та тактичні плани її реалізації;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створює єдині політики, процедури, стандарти та правила ІБ, які мають бути впроваджені усіма учасниками, організовує тренінги та семінари для них;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розробляє програму підвищення обізнаності співробітників з питань ІБ та план заходів з її виконання;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координує інвентаризацію та класифікацію інформаційних активів;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проводить оцінку ризиків ІБ та визначає заходи з усунення ризиків разом із відповідальними за ІБ в інших підрозділах апарату та на місцях;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контролює роботу засобів захисту та автоматизації процесів ІБ;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надає методологічну підтримку відповідальним за ІБ у інших підрозділах апарату та на місцях під час планування та впровадження заходів ІБ;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проводить регулярні перевірки виконання заходів ІБ відповідальними за ІБ у інших підрозділах апарату та на місцях;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керує екстреними діями для реагування на інциденти ІБ;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доповідає керівнику СУІБ про результати своєї роботи</w:t>
            </w:r>
          </w:p>
        </w:tc>
      </w:tr>
      <w:tr w:rsidR="006C423D" w:rsidRPr="006C423D" w:rsidTr="00AA3468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Офіцер ІБ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Координує та контролює взаємодію з питань ІБ в усіх підрозділах апарату та на місцях;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 xml:space="preserve">бере участь у </w:t>
            </w:r>
            <w:proofErr w:type="spellStart"/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проєктах</w:t>
            </w:r>
            <w:proofErr w:type="spellEnd"/>
            <w:r w:rsidRPr="006C423D">
              <w:rPr>
                <w:rFonts w:ascii="Times New Roman" w:hAnsi="Times New Roman" w:cs="Times New Roman"/>
                <w:sz w:val="28"/>
                <w:szCs w:val="28"/>
              </w:rPr>
              <w:t xml:space="preserve"> інших підрозділів, пов’язаних із зберіганням і обробкою інформації, та консультує з питань ІБ;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визначає заходи ІБ та створює план їх впровадження для відповідальних за ІБ;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координує, консультує та контролює виконання плану заходів ІБ іншими підрозділами;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звітує керівнику СУІБ за результатами впровадження заходів ІБ</w:t>
            </w:r>
          </w:p>
        </w:tc>
      </w:tr>
      <w:tr w:rsidR="006C423D" w:rsidRPr="006C423D" w:rsidTr="00AA3468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Співробітники Великобичківської селищної ради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Відповідають за дотримання політики безпеки Великобичківської селищної ради та захист інформаційних активів;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несуть відповідальність за захист ІТС та даних, які знаходяться під їх контролем і власністю;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>зобов’язані негайно повідомляти співробітників структурного підрозділу ІБ про будь-які потенційні</w:t>
            </w:r>
          </w:p>
          <w:p w:rsidR="006C423D" w:rsidRPr="006C423D" w:rsidRDefault="006C423D" w:rsidP="006C42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423D">
              <w:rPr>
                <w:rFonts w:ascii="Times New Roman" w:hAnsi="Times New Roman" w:cs="Times New Roman"/>
                <w:sz w:val="28"/>
                <w:szCs w:val="28"/>
              </w:rPr>
              <w:t xml:space="preserve"> або фактичні загрози та інциденти інформаційної безпеки</w:t>
            </w:r>
          </w:p>
        </w:tc>
      </w:tr>
    </w:tbl>
    <w:p w:rsidR="006C423D" w:rsidRDefault="006C423D" w:rsidP="006C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23D" w:rsidRDefault="006C423D" w:rsidP="006C42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fjsf0mut3i43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6. Принципи забезпечення інформаційної безпеки</w:t>
      </w:r>
    </w:p>
    <w:p w:rsidR="006C423D" w:rsidRDefault="006C423D" w:rsidP="006C42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межах впровадження й функціонування СУІБ </w:t>
      </w:r>
      <w:proofErr w:type="spellStart"/>
      <w:r w:rsidRPr="00AF16CE">
        <w:rPr>
          <w:rFonts w:ascii="Times New Roman" w:eastAsia="Times New Roman" w:hAnsi="Times New Roman" w:cs="Times New Roman"/>
          <w:sz w:val="28"/>
          <w:szCs w:val="28"/>
        </w:rPr>
        <w:t>Великобичківськ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16CE">
        <w:rPr>
          <w:rFonts w:ascii="Times New Roman" w:eastAsia="Times New Roman" w:hAnsi="Times New Roman" w:cs="Times New Roman"/>
          <w:sz w:val="28"/>
          <w:szCs w:val="28"/>
        </w:rPr>
        <w:t>селищн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керується такими принципами інформаційної безпеки: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48kkbwrdl9de" w:colFirst="0" w:colLast="0"/>
      <w:bookmarkEnd w:id="9"/>
      <w:r>
        <w:rPr>
          <w:rFonts w:ascii="Times New Roman" w:eastAsia="Times New Roman" w:hAnsi="Times New Roman" w:cs="Times New Roman"/>
          <w:sz w:val="28"/>
          <w:szCs w:val="28"/>
        </w:rPr>
        <w:t xml:space="preserve">інформація є одним з найбільш важливих і цінних ресурсів 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підхід до забезпечення інформаційної безпеки має бути системним (комплексним);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 удосконалення та розвитку інформаційної безпеки має бути безперервним і здійснюватися шляхом обґрунтування та реалізації раціональних засобів, методів, заходів із застосуванням найкращого міжнародного досвіду;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дотримується законодавчих, нормативних, договірних та інших вимог у сфері інформаційної безпеки;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вимоги інформаційної безпеки виконуються усіма співробітниками 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доступ до інформації 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обмежується відповідно до принципу мінімальної необхідності для виконання функціональних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обовʼязків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bookmarkStart w:id="10" w:name="_GoBack"/>
      <w:bookmarkEnd w:id="10"/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вимоги інформаційної безпеки враховуються під час розроблення, впровадження та експлуатації програмно-апаратних комплексів у </w:t>
      </w:r>
      <w:proofErr w:type="spellStart"/>
      <w:r w:rsidRPr="00AF16CE">
        <w:rPr>
          <w:rFonts w:ascii="Times New Roman" w:eastAsia="Times New Roman" w:hAnsi="Times New Roman" w:cs="Times New Roman"/>
          <w:sz w:val="28"/>
          <w:szCs w:val="28"/>
        </w:rPr>
        <w:t>Великобичківськ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AF16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16CE">
        <w:rPr>
          <w:rFonts w:ascii="Times New Roman" w:eastAsia="Times New Roman" w:hAnsi="Times New Roman" w:cs="Times New Roman"/>
          <w:sz w:val="28"/>
          <w:szCs w:val="28"/>
        </w:rPr>
        <w:t>селищн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>рад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заходи захисту від реальних та потенційних загроз забезпечують своєчасне виявлення, реєстрацію та обробку порушень вимог інформаційної безпеки;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належний рівень інформаційної безпеки неможливий без підтримки та контролю з боку керівництва 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забезпечує ефективну комунікацію з питань інформаційної безпеки всередині та за її межами;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вимоги інформаційної безпеки враховуються у процесі забезпечення безперервності діяльності 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постійно покращує СУІБ з метою підвищення ефективності засобів інформаційної безпеки та зниження витрат;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сталий розвиток СУІБ можливий лише у разі забезпечення достатності ресурсів, у тому числі фінансових. 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 разі нестачі ресурсів мають впроваджуватися пріоритетні та можливі заходи відповідно до оцінки ризиків.</w:t>
      </w:r>
    </w:p>
    <w:p w:rsidR="006C423D" w:rsidRDefault="006C423D" w:rsidP="006C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23D" w:rsidRDefault="006C423D" w:rsidP="006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8acxsg5nogid" w:colFirst="0" w:colLast="0"/>
      <w:bookmarkEnd w:id="11"/>
      <w:r>
        <w:rPr>
          <w:rFonts w:ascii="Times New Roman" w:eastAsia="Times New Roman" w:hAnsi="Times New Roman" w:cs="Times New Roman"/>
          <w:b/>
          <w:sz w:val="28"/>
          <w:szCs w:val="28"/>
        </w:rPr>
        <w:t>7. Документація системи управління інформаційною безпекою</w:t>
      </w:r>
    </w:p>
    <w:p w:rsidR="006C423D" w:rsidRDefault="006C423D" w:rsidP="006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досягнення цілей інформаційної безпеки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Великобичківська селищна рада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розробляє та впроваджує систему внутрішньої нормативної документації.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Комісія з питань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ІБ відповідає за розроблення та періодичний перегляд документів у сфері інформаційної безпеки. 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внутрішньої нормативної документації включає такі види документів: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9wm79wet582g" w:colFirst="0" w:colLast="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стратегічні документи – визначають підходи та методи управління ІБ;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політики – регулюють предметні області ІБ і визначають цілі та завдання інших функцій;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процедури – описують етапи процесів ІБ;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вимоги та правила – звід правил / вимог до організації діяльності;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шаблонні типи документів – шаблони результатів виконання конкретних процедур ІБ.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Вимоги та опис виконання процедур зі створення, погодження, введення в дію, оновлення та відкликання документів у сфері інформаційної безпеки, описані у нормативному документі „Політика управління нормативною документацією ІБ”.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23D" w:rsidRDefault="006C423D" w:rsidP="006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" w:name="_ak0sb6c0p98n" w:colFirst="0" w:colLast="0"/>
      <w:bookmarkEnd w:id="13"/>
      <w:r>
        <w:rPr>
          <w:rFonts w:ascii="Times New Roman" w:eastAsia="Times New Roman" w:hAnsi="Times New Roman" w:cs="Times New Roman"/>
          <w:b/>
          <w:sz w:val="28"/>
          <w:szCs w:val="28"/>
        </w:rPr>
        <w:t>8. Комунікація у межах системи управління інформаційної безпеки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Комунікація у межах СУІБ – це постійний обмін інформацією між учасниками процесів інформаційної безпеки з метою інформування про вимоги, поточний стан та координацію дій для ефективного впровадження, підтримки та вдосконалення заходів ІБ.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Комунікація у межах СУІБ поділяється на внутрішню та зовнішню. Внутрішня комунікація відбувається між співробітниками 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стосується внутрішніх аспектів інформаційної безпеки. Зовнішня комунікація має на меті інформування зовнішніх партнерів, регуляторів та широкої громадськості про політики, стандарти та заходи, що вживаються 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 xml:space="preserve">Великобичківської </w:t>
      </w:r>
      <w:proofErr w:type="spellStart"/>
      <w:r w:rsidRPr="00AF16CE">
        <w:rPr>
          <w:rFonts w:ascii="Times New Roman" w:eastAsia="Times New Roman" w:hAnsi="Times New Roman" w:cs="Times New Roman"/>
          <w:sz w:val="28"/>
          <w:szCs w:val="28"/>
        </w:rPr>
        <w:t>селищно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забезпечення інформаційної безпеки.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 внутрішня, так і зовнішня комунікація є двостороннім процесом, у якому зацікавлені сторони мають можливість надати свої відгуки стосовно діяльності ІБ в 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o8efs8vk2u77" w:colFirst="0" w:colLast="0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423D" w:rsidRDefault="006C423D" w:rsidP="006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5" w:name="_2rwig8wk7fid" w:colFirst="0" w:colLast="0"/>
      <w:bookmarkEnd w:id="15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9. Відповідальність за порушення правил </w:t>
      </w:r>
    </w:p>
    <w:p w:rsidR="006C423D" w:rsidRDefault="006C423D" w:rsidP="006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інформаційної безпеки </w:t>
      </w:r>
      <w:r w:rsidRPr="00AF16CE">
        <w:rPr>
          <w:rFonts w:ascii="Times New Roman" w:eastAsia="Times New Roman" w:hAnsi="Times New Roman" w:cs="Times New Roman"/>
          <w:b/>
          <w:sz w:val="28"/>
          <w:szCs w:val="28"/>
        </w:rPr>
        <w:t>Великобичківської селищної ради</w:t>
      </w:r>
    </w:p>
    <w:p w:rsidR="006C423D" w:rsidRDefault="006C423D" w:rsidP="006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Порушення внутрішніх нормативних документів, зловмисні дії тягнуть за собою обмеження прав доступу до ІТ-інфраструктури 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>Великобичківської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дисциплінарні стягнення відповідно до норм, прийнятих </w:t>
      </w:r>
      <w:proofErr w:type="spellStart"/>
      <w:r w:rsidRPr="00AF16CE">
        <w:rPr>
          <w:rFonts w:ascii="Times New Roman" w:eastAsia="Times New Roman" w:hAnsi="Times New Roman" w:cs="Times New Roman"/>
          <w:sz w:val="28"/>
          <w:szCs w:val="28"/>
        </w:rPr>
        <w:lastRenderedPageBreak/>
        <w:t>Великобичківсько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16CE">
        <w:rPr>
          <w:rFonts w:ascii="Times New Roman" w:eastAsia="Times New Roman" w:hAnsi="Times New Roman" w:cs="Times New Roman"/>
          <w:sz w:val="28"/>
          <w:szCs w:val="28"/>
        </w:rPr>
        <w:t>селищно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AF16CE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притягнення до адміністративної або кримінальної відповідальності згідно із законодавством України.</w:t>
      </w: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23D" w:rsidRDefault="006C423D" w:rsidP="006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6" w:name="_ltdszt1azp1j" w:colFirst="0" w:colLast="0"/>
      <w:bookmarkEnd w:id="16"/>
      <w:r>
        <w:rPr>
          <w:rFonts w:ascii="Times New Roman" w:eastAsia="Times New Roman" w:hAnsi="Times New Roman" w:cs="Times New Roman"/>
          <w:b/>
          <w:sz w:val="28"/>
          <w:szCs w:val="28"/>
        </w:rPr>
        <w:t>10. Перегляд Політики</w:t>
      </w:r>
    </w:p>
    <w:p w:rsidR="006C423D" w:rsidRDefault="006C423D" w:rsidP="006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423D" w:rsidRDefault="006C423D" w:rsidP="006C4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Перегляд цього документа на предмет актуальності здійснюється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комісією з питань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ІБ:</w:t>
      </w:r>
    </w:p>
    <w:p w:rsidR="006C423D" w:rsidRDefault="006C423D" w:rsidP="006C42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планово – не рідше одного разу у рік;</w:t>
      </w:r>
    </w:p>
    <w:p w:rsidR="006C423D" w:rsidRDefault="006C423D" w:rsidP="006C42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позапланово – за необхідності.</w:t>
      </w:r>
    </w:p>
    <w:p w:rsidR="006C423D" w:rsidRPr="006C423D" w:rsidRDefault="006C423D" w:rsidP="006C42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23D" w:rsidRPr="006C423D" w:rsidRDefault="006C423D" w:rsidP="006C423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7209" w:rsidRPr="006C423D" w:rsidRDefault="006C423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23D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6C42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C42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C42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C42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C42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C42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C42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C423D">
        <w:rPr>
          <w:rFonts w:ascii="Times New Roman" w:hAnsi="Times New Roman" w:cs="Times New Roman"/>
          <w:b/>
          <w:sz w:val="28"/>
          <w:szCs w:val="28"/>
          <w:lang w:val="uk-UA"/>
        </w:rPr>
        <w:tab/>
        <w:t>Валентина БОЖУК</w:t>
      </w:r>
    </w:p>
    <w:sectPr w:rsidR="00A97209" w:rsidRPr="006C423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AD"/>
    <w:rsid w:val="00341228"/>
    <w:rsid w:val="006C423D"/>
    <w:rsid w:val="00A97209"/>
    <w:rsid w:val="00D7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07FCC-FF33-4EA3-BDFC-4765E6DE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23D"/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23D"/>
    <w:pPr>
      <w:spacing w:after="0" w:line="240" w:lineRule="auto"/>
    </w:pPr>
    <w:rPr>
      <w:rFonts w:ascii="Calibri" w:eastAsia="Calibri" w:hAnsi="Calibri" w:cs="Calibri"/>
      <w:lang w:val="uk" w:eastAsia="uk-UA"/>
    </w:rPr>
  </w:style>
  <w:style w:type="paragraph" w:styleId="a4">
    <w:name w:val="Balloon Text"/>
    <w:basedOn w:val="a"/>
    <w:link w:val="a5"/>
    <w:uiPriority w:val="99"/>
    <w:semiHidden/>
    <w:unhideWhenUsed/>
    <w:rsid w:val="00341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228"/>
    <w:rPr>
      <w:rFonts w:ascii="Segoe UI" w:eastAsia="Calibri" w:hAnsi="Segoe UI" w:cs="Segoe UI"/>
      <w:sz w:val="18"/>
      <w:szCs w:val="18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Секретар</cp:lastModifiedBy>
  <cp:revision>3</cp:revision>
  <cp:lastPrinted>2025-10-28T14:42:00Z</cp:lastPrinted>
  <dcterms:created xsi:type="dcterms:W3CDTF">2025-10-28T14:30:00Z</dcterms:created>
  <dcterms:modified xsi:type="dcterms:W3CDTF">2025-10-28T14:42:00Z</dcterms:modified>
</cp:coreProperties>
</file>