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903BB" w14:textId="54147686" w:rsidR="00EA3185" w:rsidRPr="00EA3185" w:rsidRDefault="00EA3185" w:rsidP="00EA318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1.127</w:t>
      </w:r>
    </w:p>
    <w:p w14:paraId="52612574" w14:textId="77777777" w:rsidR="00EA3185" w:rsidRDefault="00EA3185" w:rsidP="00EA318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73E6AB2E" w14:textId="77777777" w:rsidR="00EA3185" w:rsidRDefault="00EA3185" w:rsidP="00EA318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45A14E00" w:rsidR="00F37AF2" w:rsidRPr="002B3A39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B3A39" w:rsidRPr="002B3A39">
        <w:rPr>
          <w:rFonts w:ascii="Times New Roman" w:hAnsi="Times New Roman" w:cs="Times New Roman"/>
          <w:b/>
          <w:bCs/>
          <w:sz w:val="28"/>
          <w:szCs w:val="28"/>
        </w:rPr>
        <w:t>1645</w:t>
      </w:r>
    </w:p>
    <w:p w14:paraId="4C07D43E" w14:textId="6060E7E7" w:rsidR="002B3A39" w:rsidRPr="002B3A39" w:rsidRDefault="002B3A39" w:rsidP="0082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2B3A39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Відомча реєстрація тракторів, самохідних шасі, самохідних сільськогосподарських, дорожньо-будівельних і меліоративних машин, сільськогосподарської техніки, інших механізмів</w:t>
      </w:r>
    </w:p>
    <w:p w14:paraId="0F2F2967" w14:textId="583A34C8"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238AE">
        <w:rPr>
          <w:rFonts w:ascii="Times New Roman" w:hAnsi="Times New Roman" w:cs="Times New Roman"/>
        </w:rPr>
        <w:t>ВІДДІЛ</w:t>
      </w:r>
    </w:p>
    <w:p w14:paraId="1F541828" w14:textId="77777777"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ЦЕНТР НАДАННЯ АДМІНІСТРАТИВНИХ ПОСЛУГ</w:t>
      </w:r>
    </w:p>
    <w:p w14:paraId="782F71CC" w14:textId="77777777"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ВИКОНАВЧОГО КОМІТЕТУ</w:t>
      </w:r>
    </w:p>
    <w:p w14:paraId="4F2D92F3" w14:textId="77777777"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ЛЮТЕНСЬКОЇ СІЛЬСЬКОЇ РАДИ</w:t>
      </w:r>
    </w:p>
    <w:p w14:paraId="4AF3C378" w14:textId="226B473A" w:rsidR="00F37AF2" w:rsidRPr="0045709C" w:rsidRDefault="00F37AF2" w:rsidP="004570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2B1F46D8" w:rsidR="00F37AF2" w:rsidRPr="008238AE" w:rsidRDefault="002B3A39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B3A39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</w:rPr>
              <w:t>дорожній</w:t>
            </w:r>
            <w:proofErr w:type="spellEnd"/>
            <w:r w:rsidRPr="002B3A39">
              <w:rPr>
                <w:rFonts w:ascii="Times New Roman" w:eastAsia="Times New Roman" w:hAnsi="Times New Roman" w:cs="Times New Roman"/>
              </w:rPr>
              <w:t xml:space="preserve"> рух»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</w:rPr>
              <w:t>стаття</w:t>
            </w:r>
            <w:proofErr w:type="spellEnd"/>
            <w:r w:rsidRPr="002B3A39">
              <w:rPr>
                <w:rFonts w:ascii="Times New Roman" w:eastAsia="Times New Roman" w:hAnsi="Times New Roman" w:cs="Times New Roman"/>
              </w:rPr>
              <w:t xml:space="preserve"> 34)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130" w14:textId="77777777" w:rsidR="002B3A39" w:rsidRDefault="002B3A39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08.07.2009 № 694 «Про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відомчої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зняття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тракторів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самохідних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шасі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самохідних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дорожньо-будівельних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меліоративних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машин,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механізмів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723A24E" w14:textId="77777777" w:rsidR="002B3A39" w:rsidRDefault="002B3A39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10.09.2014 № 442 «Про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оптимізацію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центральних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14:paraId="21864792" w14:textId="77777777" w:rsidR="002B3A39" w:rsidRDefault="002B3A39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02.09.2015 № 667 «Про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службу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безпечності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харчових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споживачів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14:paraId="759D7F42" w14:textId="181F3E16" w:rsidR="00F37AF2" w:rsidRPr="008238AE" w:rsidRDefault="002B3A39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31.01.1992 № 47 «Про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зразків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свідоцтва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машини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талона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тимчасового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машини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свідоцтва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великотоннажного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засобу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технологічного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засобу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талона транспортного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засобу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Сил,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бланків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опису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бланків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талона транспортного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засобу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гвардії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прикордонної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спеціальної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7. 8. 9. 10., 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до них 2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транспорту,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спеціального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зв'язку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, Оперативно-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рятувальної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цивільного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478" w14:textId="77777777" w:rsidR="002B3A39" w:rsidRDefault="002B3A39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аграрної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продовольства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22.11.2011 № 644 «Про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пов'язаної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реєстрацією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зняттям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тракторів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самохідних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шасі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самохідних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дорожньо-будівельних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меліоративних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машин,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механізмів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зареєстровано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20.12.2011 за №1491/20229 (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- Порядок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57987542" w14:textId="1D8E1E61" w:rsidR="007D5788" w:rsidRPr="008238AE" w:rsidRDefault="002B3A39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аграрної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16.07.2009 № 504 «Про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використовуються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державними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інспекціями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сільського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Автономній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Республіці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Крим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, областях,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містах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Севастополі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здійсненні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нагляду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(контролю) в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частині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стану машин»,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зареєстровано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B3A39">
              <w:rPr>
                <w:rFonts w:ascii="Times New Roman" w:hAnsi="Times New Roman" w:cs="Times New Roman"/>
                <w:sz w:val="24"/>
                <w:szCs w:val="24"/>
              </w:rPr>
              <w:t xml:space="preserve"> 31.08.2009 за №811/16827.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C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54605E47" w:rsidR="00DC39C3" w:rsidRPr="00DC39C3" w:rsidRDefault="00DC39C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12346143" w:rsidR="002B3A39" w:rsidRPr="008D0AD7" w:rsidRDefault="002B3A39" w:rsidP="002B3A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власника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ним особи,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зареєстрована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інспектором</w:t>
            </w:r>
            <w:proofErr w:type="spellEnd"/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BF4ECD7" w:rsidR="005C0299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5C0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отримання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AC8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14:paraId="444E9978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правомірність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використання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абзацами другим-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тринадцятим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пункту</w:t>
            </w:r>
          </w:p>
          <w:p w14:paraId="577A82ED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3.1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розділу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III Порядку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роботи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документами,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правомірність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використання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можуть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бути будь-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нижченаведених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завірені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): </w:t>
            </w:r>
          </w:p>
          <w:p w14:paraId="4CEDB37E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довідка-рахунок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видана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суб'єктом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господарювання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здійснив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реалізацію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складових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частин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мають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ідентифікаційні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номери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</w:p>
          <w:p w14:paraId="1B21DF20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акт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приймання-передачі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оригінал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виданий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складових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частин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мають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ідентифікаційні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номери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14:paraId="26875556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декларація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носії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засвідчена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декларація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уніфікована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квитанція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МД-1 </w:t>
            </w:r>
          </w:p>
          <w:p w14:paraId="3B3B9D34" w14:textId="790A9872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для машин,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ввезені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реєструються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вперше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14:paraId="579A7E68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суду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завірена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порядку; </w:t>
            </w:r>
          </w:p>
          <w:p w14:paraId="0914861B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договір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купівлі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-продажу,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дарування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договір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між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співвласниками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порядок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володіння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користування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спільним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майном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заповіт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14:paraId="2F55D266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свідоцтво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право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спільному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майні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подружжя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14:paraId="0944EF2C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органу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відчуження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машин;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зборів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співвласників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протоколу)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повноваження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представляти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інтереси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співвласників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засвідчена</w:t>
            </w:r>
            <w:proofErr w:type="spellEnd"/>
            <w:proofErr w:type="gram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згода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співвласників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перебуває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кількох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співвласників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одним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них;</w:t>
            </w:r>
          </w:p>
          <w:p w14:paraId="4B9BBD9D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рішення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господарського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товариства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повертається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зв'язку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виходом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господарського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товариства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нею;</w:t>
            </w:r>
          </w:p>
          <w:p w14:paraId="3BC5A1E5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згода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усиновлювачів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опікуна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піклувальника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яка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засвідчується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нотаріально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для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належить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неповнолітній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малолітній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такою особою; </w:t>
            </w:r>
          </w:p>
          <w:p w14:paraId="7252D8CA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правомірність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придбання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основних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складових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частин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вузлів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агрегатів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(накладна,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довідкарахунок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тощо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необхідних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акта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присвоєння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ідентифікаційного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номера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переобладнана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самостійно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складена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14:paraId="780AB2ED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сплату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передбачених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також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зборів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надаються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територіальним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органом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Держпродспоживслужби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14:paraId="22DB14D3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паспорта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реєстраційного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номера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облікової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картки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платника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винятком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релігійні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переконання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відмовилися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прийняття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реєстраційного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номера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облікової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картки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платника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офіційно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повідомили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відповідний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податкової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служби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мають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відмітку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(для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);</w:t>
            </w:r>
          </w:p>
          <w:p w14:paraId="1A6B3022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посвідчує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власника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повноваження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потреби), а при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власником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здійснювати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зняття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обов'язково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довіреність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завірена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порядку. </w:t>
            </w:r>
          </w:p>
          <w:p w14:paraId="447AEFE7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5.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Свідоцтво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відміткою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зняття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попереднім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власником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перебувала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експлуатації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була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зареєстрована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територіальному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Держпродспоживслужби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державному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</w:p>
          <w:p w14:paraId="61C546B8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6.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декларація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носії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засвідчена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декларація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уніфікована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квитанція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МД-1 - для машин,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ввезені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реєструються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вперше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14:paraId="208662AA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7. Акт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присвоєння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ідентифікаційного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номера (у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ідентифікаційний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номер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присвоєно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gram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пункту</w:t>
            </w:r>
            <w:proofErr w:type="gram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14 Порядку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</w:p>
          <w:p w14:paraId="025F24E0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8.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Висновок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атестованого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спеціаліста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обстеження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відповідність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ідентифікаційних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номерів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супровідних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предмет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фальсифікації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далі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висновок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спеціаліста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). </w:t>
            </w:r>
          </w:p>
          <w:p w14:paraId="4FA351A3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9.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Висновок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відповідність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вимогам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конструкції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безпеки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дорожнього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руху,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безпеки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праці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охорони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навколишнього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природного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середовища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виданий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суб'єктом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господарювання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проводити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перевірку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gram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порядку</w:t>
            </w:r>
            <w:proofErr w:type="gram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визначеному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переобладнаних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самостійно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складених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машин). </w:t>
            </w:r>
          </w:p>
          <w:p w14:paraId="089B953A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10. Для машин,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реєструються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вперше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</w:p>
          <w:p w14:paraId="6AF905BC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декларація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відповідність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оформлена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</w:p>
          <w:p w14:paraId="12D255D7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для машин,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поширюється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</w:t>
            </w:r>
            <w:proofErr w:type="spellEnd"/>
            <w:proofErr w:type="gram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регламенту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безпеки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постановою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Кабінету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Міністрів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30.01.2013 № 62; </w:t>
            </w:r>
          </w:p>
          <w:p w14:paraId="1F92A96F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сертифікат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типу, оформлений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підставі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сертифіката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типу, </w:t>
            </w:r>
          </w:p>
          <w:p w14:paraId="793D268B" w14:textId="77777777" w:rsidR="002B3A39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для машин,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поширюється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регламенту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типу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сільськогосподарських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лісогосподарських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тракторів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причепів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і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причіпних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машин, систем,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складових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частин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окремих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вузлів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постановою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Кабінету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Міністрів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28.12.2011 № 1367,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сертифікат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типу,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виданий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одиничні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зразки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 органом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оцінки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призначеним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провадження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діяльності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типу; </w:t>
            </w:r>
          </w:p>
          <w:p w14:paraId="56FD498A" w14:textId="587AC750" w:rsidR="002910C3" w:rsidRPr="007D5788" w:rsidRDefault="002B3A39" w:rsidP="007D57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11.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використання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зберігання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відокремленому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підрозділі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право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земельну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ділянку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користування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нею,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місцезнаходженням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потреби). 12.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випадках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визначених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Порядком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Власник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зобов'язаний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зареєструвати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машину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протягом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10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діб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дня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придбання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митного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виникнення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обставин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є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підставою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Строк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може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бути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продовжений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територіальним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органом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Держпродспоживслужби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неможливості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власника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своєчасно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провести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зв'язку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хворобою,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причин.</w:t>
            </w: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26EBCB38" w:rsidR="00F37AF2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DF1" w14:textId="77777777" w:rsidR="002B3A39" w:rsidRDefault="002B3A39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B3A39">
              <w:rPr>
                <w:rFonts w:ascii="Times New Roman" w:eastAsia="Calibri" w:hAnsi="Times New Roman" w:cs="Times New Roman"/>
              </w:rPr>
              <w:t>Оригінали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завірені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установленому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порядку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копії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подаються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51E6F5E3" w14:textId="77777777" w:rsidR="002B3A39" w:rsidRDefault="002B3A39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B3A39">
              <w:rPr>
                <w:rFonts w:ascii="Times New Roman" w:eastAsia="Calibri" w:hAnsi="Times New Roman" w:cs="Times New Roman"/>
              </w:rPr>
              <w:t xml:space="preserve">1.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Особисто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суб'єктом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звернення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його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законним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представником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B3A39">
              <w:rPr>
                <w:rFonts w:ascii="Times New Roman" w:eastAsia="Calibri" w:hAnsi="Times New Roman" w:cs="Times New Roman"/>
              </w:rPr>
              <w:t>до центру</w:t>
            </w:r>
            <w:proofErr w:type="gram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адміністративних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, в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якому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здійснюється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обслуговування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суб'єкта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звернення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>.</w:t>
            </w:r>
          </w:p>
          <w:p w14:paraId="12F987BD" w14:textId="58BC7BD1" w:rsidR="002917B8" w:rsidRPr="00737F8F" w:rsidRDefault="002B3A39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B3A39">
              <w:rPr>
                <w:rFonts w:ascii="Times New Roman" w:eastAsia="Calibri" w:hAnsi="Times New Roman" w:cs="Times New Roman"/>
              </w:rPr>
              <w:t xml:space="preserve"> 2.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Поштою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2B3A39">
              <w:rPr>
                <w:rFonts w:ascii="Times New Roman" w:eastAsia="Calibri" w:hAnsi="Times New Roman" w:cs="Times New Roman"/>
              </w:rPr>
              <w:t>до центру</w:t>
            </w:r>
            <w:proofErr w:type="gram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адміністративних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, в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якому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здійснюється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обслуговування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суб'єкта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B3A39">
              <w:rPr>
                <w:rFonts w:ascii="Times New Roman" w:eastAsia="Calibri" w:hAnsi="Times New Roman" w:cs="Times New Roman"/>
              </w:rPr>
              <w:t>звернення</w:t>
            </w:r>
            <w:proofErr w:type="spellEnd"/>
            <w:r w:rsidRPr="002B3A3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01DDB79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B17DA8F" w:rsidR="002917B8" w:rsidRPr="002B3A39" w:rsidRDefault="002B3A39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  <w:proofErr w:type="spellEnd"/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0C27728F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180E4DD5" w:rsidR="002917B8" w:rsidRPr="002B3A39" w:rsidRDefault="002B3A39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робочих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днів</w:t>
            </w:r>
            <w:proofErr w:type="spellEnd"/>
          </w:p>
        </w:tc>
      </w:tr>
      <w:tr w:rsidR="00840A64" w14:paraId="7EEB808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0C2" w14:textId="35DA342B" w:rsidR="00840A64" w:rsidRDefault="00840A6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922" w14:textId="39A04F26" w:rsidR="00840A64" w:rsidRPr="008D000F" w:rsidRDefault="00840A6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7A5" w14:textId="77777777" w:rsidR="002B3A39" w:rsidRDefault="002B3A39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може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відмовлено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</w:p>
          <w:p w14:paraId="5C3D1641" w14:textId="433DE402" w:rsidR="002B3A39" w:rsidRP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1.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машина:</w:t>
            </w: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98DD476" w14:textId="77777777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знята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державному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винятком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випадків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</w:p>
          <w:p w14:paraId="515CD5E9" w14:textId="77777777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не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номера.</w:t>
            </w:r>
          </w:p>
          <w:p w14:paraId="5283870F" w14:textId="77777777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2.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коли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подано не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обсязі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викладено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іноземною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мовою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порядку перекладу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</w:p>
          <w:p w14:paraId="49DE17B2" w14:textId="77777777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засвідчені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порядку; </w:t>
            </w:r>
          </w:p>
          <w:p w14:paraId="66F28C05" w14:textId="1AE121E5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оформлено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порушеннями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закону: </w:t>
            </w:r>
          </w:p>
          <w:p w14:paraId="76D1B6FD" w14:textId="77777777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</w:p>
          <w:p w14:paraId="70D6CEEF" w14:textId="7BCDAA8B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зазначено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знищені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підроблені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сфальсифіковані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складових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вузлів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агрегатів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);  </w:t>
            </w:r>
          </w:p>
          <w:p w14:paraId="5EC90D0C" w14:textId="77777777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ввезені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сфальсифікованими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документами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митного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зазначено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14:paraId="2A34110E" w14:textId="77777777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випадках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законом. </w:t>
            </w:r>
          </w:p>
          <w:p w14:paraId="657DAC5E" w14:textId="77777777" w:rsid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Запис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відмову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зазначенням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вмотивованих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відмови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вноситься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якої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повертається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власнику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уповноваженій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ним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14:paraId="0EA8DB23" w14:textId="214A8C95" w:rsidR="004355AE" w:rsidRPr="002B3A39" w:rsidRDefault="002B3A39" w:rsidP="002B3A3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прохання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заявника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складається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окрема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письмова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відповідь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відмови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реєстрації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підписується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інспектором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реєструється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Держпродспоживслужби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установленому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порядку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162C7DD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1B80F1B6" w:rsidR="004355AE" w:rsidRPr="00737F8F" w:rsidRDefault="002B3A39" w:rsidP="002B3A39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Відомча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 та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номерних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потреби),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</w:t>
            </w:r>
            <w:proofErr w:type="spellEnd"/>
            <w:r w:rsidRPr="002B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0DE3" w:rsidRPr="00347B05" w14:paraId="1AAC4CFB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24184E15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095BFF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1B0" w14:textId="77777777" w:rsidR="00C264FD" w:rsidRDefault="00C264FD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суб'єктом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законним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представником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9A2192B" w14:textId="6D4A74D4" w:rsidR="002917B8" w:rsidRPr="007D5788" w:rsidRDefault="00C264FD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засвідчується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підписом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особи-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підприємця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особи при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пред'явлені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засвічує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особу.</w:t>
            </w:r>
          </w:p>
        </w:tc>
      </w:tr>
      <w:tr w:rsidR="00C264FD" w:rsidRPr="00347B05" w14:paraId="45091D2C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3C1" w14:textId="6331DDBD" w:rsidR="00C264FD" w:rsidRDefault="00C264F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498" w14:textId="2CC1C0EB" w:rsidR="00C264FD" w:rsidRPr="00C264FD" w:rsidRDefault="00C264FD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D07" w14:textId="77777777" w:rsidR="00C264FD" w:rsidRDefault="00C264FD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територіальними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органами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реєструються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огляду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державними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інспекторами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реєстрації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огляду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узгоджує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інспектором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679527B" w14:textId="77777777" w:rsidR="00C264FD" w:rsidRDefault="00C264FD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подає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номерний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 "Транзит",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виданий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суб'єктами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підпункту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пункту 8 Порядку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номерний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 "Транзит",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виданий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абзацу другого пункту 18 Порядку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299E694" w14:textId="77777777" w:rsidR="00C264FD" w:rsidRDefault="00C264FD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підрозділами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обтяжень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 за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даними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обтяжень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рухомого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майна.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перебувають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податковій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арештом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предметом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обтяження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проводиться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виключно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письмової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обтяжувачів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E45145B" w14:textId="77777777" w:rsidR="00C264FD" w:rsidRDefault="00C264FD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Причіпне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навісне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приченів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прирівняних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них машин) та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присвоєно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ідентифікаційні</w:t>
            </w:r>
            <w:proofErr w:type="spellEnd"/>
            <w:proofErr w:type="gram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реєструються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власників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B61E133" w14:textId="3F3779B6" w:rsidR="00C264FD" w:rsidRPr="00C264FD" w:rsidRDefault="00C264FD" w:rsidP="007D578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скасовується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територіальним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органом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Держпродспоживслужби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факту,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подано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підроблені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факту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підроблення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ідентифікаційного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складових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вузлів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агрегатів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негайно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передаються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правоохоронних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скасовуватися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випадках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законом,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зокрема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рішенням</w:t>
            </w:r>
            <w:proofErr w:type="spellEnd"/>
            <w:r w:rsidRPr="00C2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суду.</w:t>
            </w: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2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10"/>
  </w:num>
  <w:num w:numId="5">
    <w:abstractNumId w:val="12"/>
  </w:num>
  <w:num w:numId="6">
    <w:abstractNumId w:val="16"/>
  </w:num>
  <w:num w:numId="7">
    <w:abstractNumId w:val="18"/>
  </w:num>
  <w:num w:numId="8">
    <w:abstractNumId w:val="7"/>
  </w:num>
  <w:num w:numId="9">
    <w:abstractNumId w:val="17"/>
  </w:num>
  <w:num w:numId="10">
    <w:abstractNumId w:val="2"/>
  </w:num>
  <w:num w:numId="11">
    <w:abstractNumId w:val="9"/>
  </w:num>
  <w:num w:numId="12">
    <w:abstractNumId w:val="1"/>
  </w:num>
  <w:num w:numId="13">
    <w:abstractNumId w:val="6"/>
  </w:num>
  <w:num w:numId="14">
    <w:abstractNumId w:val="11"/>
  </w:num>
  <w:num w:numId="15">
    <w:abstractNumId w:val="13"/>
  </w:num>
  <w:num w:numId="16">
    <w:abstractNumId w:val="4"/>
  </w:num>
  <w:num w:numId="17">
    <w:abstractNumId w:val="0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5C7208"/>
    <w:rsid w:val="006006CA"/>
    <w:rsid w:val="0060277F"/>
    <w:rsid w:val="00611783"/>
    <w:rsid w:val="006275EE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A3185"/>
    <w:rsid w:val="00EF4E4C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A21C-F31C-4A44-8F60-83CF882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1978</Words>
  <Characters>11275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196</cp:revision>
  <cp:lastPrinted>2023-11-27T12:28:00Z</cp:lastPrinted>
  <dcterms:created xsi:type="dcterms:W3CDTF">2023-09-27T12:41:00Z</dcterms:created>
  <dcterms:modified xsi:type="dcterms:W3CDTF">2025-12-18T09:01:00Z</dcterms:modified>
</cp:coreProperties>
</file>