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671C" w:rsidRDefault="0050671C" w:rsidP="0050671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42</w:t>
      </w:r>
    </w:p>
    <w:p w:rsidR="0050671C" w:rsidRDefault="0050671C" w:rsidP="0050671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0671C" w:rsidRDefault="0050671C" w:rsidP="0050671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E638F6" w:rsidRDefault="00E638F6" w:rsidP="00E638F6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Державна реєстрація обмежень у використанні земель з видачею витягу</w:t>
      </w:r>
    </w:p>
    <w:p w:rsidR="00200ED0" w:rsidRPr="002F5349" w:rsidRDefault="00200ED0" w:rsidP="00E638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38F6" w:rsidRDefault="00FB34F3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E638F6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Прийняття пакета документів, поданих заявником із заявою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9E14BB" w:rsidRPr="00E638F6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заявнику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  <w:p w:rsidR="001D167B" w:rsidRPr="00E638F6" w:rsidRDefault="001D167B" w:rsidP="001B60E7">
            <w:pPr>
              <w:pStyle w:val="a8"/>
              <w:spacing w:before="0" w:after="0"/>
              <w:jc w:val="both"/>
              <w:rPr>
                <w:color w:val="000000" w:themeColor="text1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38F6" w:rsidRDefault="00F369A7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38F6" w:rsidRDefault="00883B83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  <w:lang w:val="ru-RU" w:eastAsia="uk-UA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надходження заяви з пакетом документів в електронній формі до відповідного структурного підрозділу Головного управління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1F1F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в порядку черговості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38F6" w:rsidRDefault="002D2C21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lang w:eastAsia="ru-RU"/>
              </w:rPr>
              <w:t>2</w:t>
            </w:r>
            <w:r w:rsidR="00FB34F3" w:rsidRPr="00E638F6">
              <w:rPr>
                <w:color w:val="000000" w:themeColor="text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BB" w:rsidRPr="00E638F6" w:rsidRDefault="009E14BB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Розглядає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заяву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 разом з документами та п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еревіряє:</w:t>
            </w:r>
          </w:p>
          <w:p w:rsidR="009E14BB" w:rsidRPr="00E638F6" w:rsidRDefault="009E14BB" w:rsidP="001B60E7">
            <w:pPr>
              <w:pStyle w:val="rvps2"/>
              <w:spacing w:before="0" w:after="0"/>
              <w:ind w:firstLine="21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відповідність документів вимогам законодавства;</w:t>
            </w:r>
          </w:p>
          <w:p w:rsidR="009E14BB" w:rsidRPr="00E638F6" w:rsidRDefault="009E14BB" w:rsidP="001B60E7">
            <w:pPr>
              <w:pStyle w:val="a8"/>
              <w:spacing w:before="0" w:after="0"/>
              <w:ind w:firstLine="126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електронний документ</w:t>
            </w:r>
          </w:p>
          <w:p w:rsidR="00FB34F3" w:rsidRPr="00E638F6" w:rsidRDefault="00FB34F3" w:rsidP="001B60E7">
            <w:pPr>
              <w:pStyle w:val="a8"/>
              <w:spacing w:before="0" w:after="0"/>
              <w:ind w:hanging="45"/>
              <w:jc w:val="both"/>
              <w:rPr>
                <w:color w:val="000000" w:themeColor="text1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38F6" w:rsidRDefault="00F369A7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638F6" w:rsidRDefault="00883B83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  <w:lang w:val="ru-RU" w:eastAsia="uk-UA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робочого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638F6" w:rsidRDefault="002D2C21" w:rsidP="001B60E7">
            <w:pPr>
              <w:jc w:val="both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lang w:eastAsia="ru-RU"/>
              </w:rPr>
              <w:t>3</w:t>
            </w:r>
            <w:r w:rsidR="00FB34F3" w:rsidRPr="00E638F6">
              <w:rPr>
                <w:color w:val="000000" w:themeColor="text1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F6" w:rsidRPr="00E638F6" w:rsidRDefault="00E638F6" w:rsidP="00E638F6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У разі прийняття рішення про внесення відомостей про обмеження у використанні 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земель до Державного земельного кадастру виконує:</w:t>
            </w:r>
          </w:p>
          <w:p w:rsidR="00E638F6" w:rsidRPr="00E638F6" w:rsidRDefault="00E638F6" w:rsidP="00E638F6">
            <w:pPr>
              <w:pStyle w:val="a9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 та здійснює внесення відомостей про обмеження у використанні земель;</w:t>
            </w:r>
          </w:p>
          <w:p w:rsidR="00E638F6" w:rsidRPr="00E638F6" w:rsidRDefault="00E638F6" w:rsidP="00E638F6">
            <w:pPr>
              <w:pStyle w:val="rvps2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E638F6" w:rsidRPr="00E638F6" w:rsidRDefault="00E638F6" w:rsidP="00E638F6">
            <w:pPr>
              <w:pStyle w:val="a9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формує витяг з Державного земельного кадастру про обмеження у використанні земель за визначеною формою;</w:t>
            </w:r>
          </w:p>
          <w:p w:rsidR="00E638F6" w:rsidRPr="00E638F6" w:rsidRDefault="00E638F6" w:rsidP="00E638F6">
            <w:pPr>
              <w:pStyle w:val="rvps2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 Державного земельного кадастру згідно з вимогами законодавства</w:t>
            </w:r>
          </w:p>
          <w:p w:rsidR="00E638F6" w:rsidRPr="00E638F6" w:rsidRDefault="00E638F6" w:rsidP="00E638F6">
            <w:pPr>
              <w:pStyle w:val="a9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У разі прийняття рішення про надання відмови у внесенні відомостей про обмеження у використанні земель</w:t>
            </w:r>
            <w:r w:rsidRPr="00E638F6">
              <w:rPr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до Державного земельного кадастру виконує:</w:t>
            </w:r>
          </w:p>
          <w:p w:rsidR="00E638F6" w:rsidRPr="00E638F6" w:rsidRDefault="00E638F6" w:rsidP="00E638F6">
            <w:pPr>
              <w:pStyle w:val="a9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E638F6" w:rsidRPr="00E638F6" w:rsidRDefault="00E638F6" w:rsidP="00E638F6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формування рішення про відмову у внесенні відомостей до Державного земельного кадастру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за визначеними формами</w:t>
            </w:r>
          </w:p>
          <w:p w:rsidR="00E638F6" w:rsidRPr="00E638F6" w:rsidRDefault="00E638F6" w:rsidP="00E638F6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Підписує документи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та засвідчує свій підпис власною печаткою,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  <w:p w:rsidR="001B60E7" w:rsidRPr="0050671C" w:rsidRDefault="001B60E7" w:rsidP="001B60E7">
            <w:pPr>
              <w:pStyle w:val="a8"/>
              <w:spacing w:before="0"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B34F3" w:rsidRPr="00E638F6" w:rsidRDefault="00FB34F3" w:rsidP="001B60E7">
            <w:pPr>
              <w:pStyle w:val="a8"/>
              <w:spacing w:before="0" w:after="0"/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lastRenderedPageBreak/>
              <w:t xml:space="preserve">Державний кадастровий 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lastRenderedPageBreak/>
              <w:t>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38F6" w:rsidRDefault="00FB7622" w:rsidP="001B60E7">
            <w:pPr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  <w:lang w:eastAsia="ru-RU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638F6" w:rsidRDefault="00883B83" w:rsidP="001B60E7">
            <w:pPr>
              <w:pStyle w:val="TableParagraph"/>
              <w:kinsoku w:val="0"/>
              <w:overflowPunct w:val="0"/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Не пізніше тринадцятого </w:t>
            </w:r>
            <w:r w:rsidR="009E14BB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lastRenderedPageBreak/>
              <w:t>робочого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38F6" w:rsidRDefault="00E24DEC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38F6" w:rsidRDefault="009E14BB" w:rsidP="001B60E7">
            <w:pPr>
              <w:pStyle w:val="TableParagraph"/>
              <w:kinsoku w:val="0"/>
              <w:overflowPunct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Надсилає сформовані для видачі документи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в електронній формі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вебпорталу 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38F6" w:rsidRDefault="00E24DEC" w:rsidP="001B60E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638F6" w:rsidRDefault="00883B83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  <w:lang w:val="ru-RU" w:eastAsia="uk-UA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робочого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062DA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38F6" w:rsidRDefault="00062DAF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38F6" w:rsidRDefault="001B60E7" w:rsidP="001B60E7">
            <w:pPr>
              <w:pStyle w:val="TableParagraph"/>
              <w:kinsoku w:val="0"/>
              <w:overflowPunct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витяг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 до спеціаліста відповідного структурного підрозділу Головного управління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1F1F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38F6" w:rsidRDefault="00062DAF" w:rsidP="001B60E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638F6" w:rsidRDefault="00883B83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робочого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1B60E7" w:rsidP="001B60E7">
            <w:pPr>
              <w:pStyle w:val="TableParagraph"/>
              <w:kinsoku w:val="0"/>
              <w:overflowPunct w:val="0"/>
              <w:jc w:val="both"/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 Держгеокадастру 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1F1F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Не пізніше чотирнадцятого </w:t>
            </w:r>
            <w:r w:rsidR="009E14BB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робочого</w:t>
            </w: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 xml:space="preserve"> дня з дня реєстрації заяви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638F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E65C9A" w:rsidP="001B60E7">
            <w:pPr>
              <w:pStyle w:val="TableParagraph"/>
              <w:kinsoku w:val="0"/>
              <w:overflowPunct w:val="0"/>
              <w:jc w:val="both"/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="001B60E7"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Видача замовнику витягу з Державного земельного кадастру про обмеження у використанні земель або рішення про відмову у внесенні відомостей (змін до них) до Державного земельного кадастру.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883B83" w:rsidP="001B60E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638F6">
              <w:rPr>
                <w:b/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638F6" w:rsidRDefault="009E14BB" w:rsidP="001B60E7">
            <w:pPr>
              <w:pStyle w:val="a3"/>
              <w:jc w:val="both"/>
              <w:rPr>
                <w:color w:val="000000" w:themeColor="text1"/>
                <w:sz w:val="22"/>
                <w:szCs w:val="22"/>
                <w:shd w:val="clear" w:color="auto" w:fill="F1F1F1"/>
              </w:rPr>
            </w:pP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В день звернення заявника після отримання витягу або рішення про відмову у внесенні відомостей</w:t>
            </w:r>
            <w:r w:rsidRPr="00E638F6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1F1F1"/>
              </w:rPr>
              <w:t> </w:t>
            </w:r>
            <w:r w:rsidRPr="00E638F6">
              <w:rPr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1F1F1"/>
              </w:rPr>
              <w:t>(змін до них)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0671C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E3906"/>
    <w:rsid w:val="008F3093"/>
    <w:rsid w:val="009141F6"/>
    <w:rsid w:val="009339F2"/>
    <w:rsid w:val="00946CE1"/>
    <w:rsid w:val="009512BC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3D93"/>
  <w15:docId w15:val="{6FD591F8-6469-4EC0-A713-053EA5B8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semiHidden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5D13-84A7-402A-ADC2-30C95435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225</cp:revision>
  <dcterms:created xsi:type="dcterms:W3CDTF">2021-03-24T07:14:00Z</dcterms:created>
  <dcterms:modified xsi:type="dcterms:W3CDTF">2025-12-18T13:28:00Z</dcterms:modified>
</cp:coreProperties>
</file>