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2051EF" w14:textId="6A0F2CA7" w:rsidR="003817DA" w:rsidRPr="003817DA" w:rsidRDefault="004D59C9" w:rsidP="003817D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bookmarkStart w:id="0" w:name="_GoBack"/>
      <w:proofErr w:type="spellStart"/>
      <w:r w:rsidR="003817DA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3817DA">
        <w:rPr>
          <w:rFonts w:ascii="Times New Roman" w:hAnsi="Times New Roman" w:cs="Times New Roman"/>
          <w:sz w:val="28"/>
          <w:szCs w:val="28"/>
        </w:rPr>
        <w:t xml:space="preserve"> </w:t>
      </w:r>
      <w:r w:rsidR="003817DA">
        <w:rPr>
          <w:rFonts w:ascii="Times New Roman" w:hAnsi="Times New Roman" w:cs="Times New Roman"/>
          <w:sz w:val="28"/>
          <w:szCs w:val="28"/>
          <w:lang w:val="ru-RU"/>
        </w:rPr>
        <w:t>1.219</w:t>
      </w:r>
    </w:p>
    <w:p w14:paraId="51F43183" w14:textId="77777777" w:rsidR="003817DA" w:rsidRDefault="003817DA" w:rsidP="003817DA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01C59D1" w14:textId="77777777" w:rsidR="003817DA" w:rsidRDefault="003817DA" w:rsidP="003817DA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2025 року</w:t>
      </w:r>
    </w:p>
    <w:bookmarkEnd w:id="0"/>
    <w:p w14:paraId="5E3547B3" w14:textId="7AAE57A0" w:rsidR="00F37AF2" w:rsidRPr="006275EE" w:rsidRDefault="00F37AF2" w:rsidP="003817DA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613BBC64" w14:textId="5E185463" w:rsidR="0046364F" w:rsidRPr="00037A98" w:rsidRDefault="00F37AF2" w:rsidP="0046364F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C0B53" w:rsidRPr="000C0B5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037A98">
        <w:rPr>
          <w:rFonts w:ascii="Times New Roman" w:hAnsi="Times New Roman" w:cs="Times New Roman"/>
          <w:b/>
          <w:bCs/>
          <w:sz w:val="28"/>
          <w:szCs w:val="28"/>
          <w:lang w:val="ru-RU"/>
        </w:rPr>
        <w:t>0163</w:t>
      </w:r>
    </w:p>
    <w:p w14:paraId="71665D4E" w14:textId="0CF65DE1" w:rsidR="001E1A20" w:rsidRDefault="00037A98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ru-RU" w:eastAsia="ru-RU"/>
        </w:rPr>
        <w:t>Видача експлуатаційного дозволу</w:t>
      </w:r>
      <w:r w:rsidR="001E1A20" w:rsidRPr="001E1A20">
        <w:rPr>
          <w:rFonts w:ascii="Times New Roman" w:eastAsia="Times New Roman" w:hAnsi="Times New Roman" w:cs="Times New Roman"/>
          <w:b/>
          <w:bCs/>
          <w:iCs/>
          <w:noProof/>
          <w:sz w:val="32"/>
          <w:szCs w:val="32"/>
          <w:lang w:val="uk-UA" w:eastAsia="ru-RU"/>
        </w:rPr>
        <w:tab/>
      </w:r>
    </w:p>
    <w:p w14:paraId="2653B606" w14:textId="30596AE3" w:rsidR="00661862" w:rsidRPr="00661862" w:rsidRDefault="00661862" w:rsidP="00661862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</w:pPr>
      <w:r w:rsidRPr="00661862">
        <w:rPr>
          <w:rFonts w:ascii="Times New Roman" w:eastAsia="Times New Roman" w:hAnsi="Times New Roman" w:cs="Times New Roman"/>
          <w:iCs/>
          <w:noProof/>
          <w:sz w:val="28"/>
          <w:szCs w:val="28"/>
          <w:lang w:val="uk-UA" w:eastAsia="ru-RU"/>
        </w:rPr>
        <w:t>Головне управління Держпродспоживслужби в Полтавській області</w:t>
      </w:r>
    </w:p>
    <w:p w14:paraId="4AF3C378" w14:textId="2A6FD065" w:rsidR="00F37AF2" w:rsidRPr="00D2607D" w:rsidRDefault="00F37AF2" w:rsidP="00D2607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val="uk-UA" w:eastAsia="ru-RU"/>
        </w:rPr>
      </w:pP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0B28C7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</w:t>
            </w:r>
            <w:proofErr w:type="gram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тел.(</w:t>
            </w:r>
            <w:proofErr w:type="gram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D11C68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Закони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5DCD" w14:textId="5B0AD56C" w:rsidR="007B71C5" w:rsidRPr="00037A98" w:rsidRDefault="00037A98" w:rsidP="00A47297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037A98">
              <w:rPr>
                <w:rFonts w:ascii="Times New Roman" w:eastAsia="Times New Roman" w:hAnsi="Times New Roman" w:cs="Times New Roman"/>
              </w:rPr>
              <w:t xml:space="preserve">Закон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основні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принципи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вимоги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до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безпечності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якості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харчових</w:t>
            </w:r>
            <w:proofErr w:type="spellEnd"/>
            <w:r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продуктів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», ст. 23, 24: Закон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дозвільну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систему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господарської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». Закон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Перелік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документів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дозвільного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характеру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сфері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господарської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діяльності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»; Закон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адміністративні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</w:rPr>
              <w:t>послуги</w:t>
            </w:r>
            <w:proofErr w:type="spellEnd"/>
            <w:r w:rsidRPr="00037A98">
              <w:rPr>
                <w:rFonts w:ascii="Times New Roman" w:eastAsia="Times New Roman" w:hAnsi="Times New Roman" w:cs="Times New Roman"/>
              </w:rPr>
              <w:t>» ст. 8.</w:t>
            </w:r>
          </w:p>
        </w:tc>
      </w:tr>
      <w:tr w:rsidR="00F37AF2" w14:paraId="3627EE01" w14:textId="77777777" w:rsidTr="007B71C5">
        <w:trPr>
          <w:trHeight w:val="72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Кабінету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Міністрів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України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7F42" w14:textId="05C2EF84" w:rsidR="000A327C" w:rsidRPr="00B35321" w:rsidRDefault="00037A98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</w:rPr>
            </w:pPr>
            <w:r w:rsidRPr="00037A98">
              <w:rPr>
                <w:rFonts w:ascii="Times New Roman" w:hAnsi="Times New Roman" w:cs="Times New Roman"/>
              </w:rPr>
              <w:t xml:space="preserve">Постанова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від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12.01.2024 № 27 «Про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затвердження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Порядку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видачі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відмови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видачі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анулювання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тимчасового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припинення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дії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переоформлення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поновлення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дії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експлуатаційного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форми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експлуатаційного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визнання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такими,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що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втратили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чинність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деяких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постанов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».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Розпорядження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Кабінету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Міністрів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від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16.05.2014 № 523-р «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Деякі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органів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виконавчої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влади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через центри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037A98">
              <w:rPr>
                <w:rFonts w:ascii="Times New Roman" w:hAnsi="Times New Roman" w:cs="Times New Roman"/>
              </w:rPr>
              <w:t>».</w:t>
            </w:r>
          </w:p>
        </w:tc>
      </w:tr>
      <w:tr w:rsidR="00F37AF2" w14:paraId="0ED7518D" w14:textId="77777777" w:rsidTr="000B28C7">
        <w:trPr>
          <w:trHeight w:val="73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Акти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центральних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органів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виконавчої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87542" w14:textId="1AFA1AE1" w:rsidR="00834AEB" w:rsidRPr="00B35321" w:rsidRDefault="00037A98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-----------------</w:t>
            </w:r>
          </w:p>
        </w:tc>
      </w:tr>
      <w:tr w:rsidR="00F37AF2" w14:paraId="09E794A4" w14:textId="77777777" w:rsidTr="000B28C7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lastRenderedPageBreak/>
              <w:t>Умови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b/>
                <w:bCs/>
                <w:lang w:val="ru-RU"/>
              </w:rPr>
              <w:t>послуги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</w:tc>
      </w:tr>
      <w:tr w:rsidR="00DC39C3" w14:paraId="4DECE83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BAF8" w14:textId="5B5A0012" w:rsidR="00DC39C3" w:rsidRPr="00B35321" w:rsidRDefault="0045709C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7</w:t>
            </w:r>
            <w:r w:rsidR="00DC39C3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89FBF" w14:textId="7CE88751" w:rsidR="00DC39C3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Підстава для отримання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528E" w14:textId="7531579C" w:rsidR="002B3A39" w:rsidRPr="00B35321" w:rsidRDefault="00037A98" w:rsidP="00A472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Провадження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діяльності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пов'язаної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виробництвом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та/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зберіганням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харчових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продуктів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тваринного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походження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1413ED" w14:paraId="4A991E3A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18E70" w14:textId="63DB5DA1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4471" w14:textId="4184AAD9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Перелік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B3B2" w14:textId="77777777" w:rsidR="00037A98" w:rsidRPr="00037A98" w:rsidRDefault="00037A98" w:rsidP="00A47297">
            <w:pPr>
              <w:spacing w:line="240" w:lineRule="auto"/>
              <w:ind w:left="6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Для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отримання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адміністративної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необхідно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подати одну з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наступних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</w:t>
            </w:r>
          </w:p>
          <w:p w14:paraId="25368F4E" w14:textId="77777777" w:rsidR="00037A98" w:rsidRPr="00037A98" w:rsidRDefault="00037A98" w:rsidP="00A47297">
            <w:pPr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</w:p>
          <w:p w14:paraId="3E18704D" w14:textId="50BD200B" w:rsidR="00532821" w:rsidRPr="00037A98" w:rsidRDefault="00037A98" w:rsidP="00A47297">
            <w:pPr>
              <w:pStyle w:val="a7"/>
              <w:numPr>
                <w:ilvl w:val="0"/>
                <w:numId w:val="30"/>
              </w:num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поновлення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переоформлення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/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</w:t>
            </w:r>
          </w:p>
        </w:tc>
      </w:tr>
      <w:tr w:rsidR="005C0299" w14:paraId="4DFB2998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A15F" w14:textId="124FEFE4" w:rsidR="005C0299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87AA" w14:textId="55519545" w:rsidR="005C0299" w:rsidRPr="00B35321" w:rsidRDefault="00B46210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Спосіб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необхідних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498A" w14:textId="4001FAC7" w:rsidR="00037A98" w:rsidRPr="00037A98" w:rsidRDefault="00037A98" w:rsidP="00A47297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може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бути подана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 w:eastAsia="uk-UA"/>
              </w:rPr>
              <w:t xml:space="preserve"> </w:t>
            </w:r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через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уповноважену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особу.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може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бути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надіслана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поштовим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відправленням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зокрема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шляхом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особистого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звернення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засобами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Єдиного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державного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вебпорталу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послуг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що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подається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в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повинна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відповідати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вимогам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Закону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«Про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електронний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документообіг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».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разі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заяви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засобами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Порталу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така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заява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подається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довільній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формі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придатній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для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сприйняття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її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змісту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з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урахуванням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відомостей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визначених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 Порядку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відмови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видачі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анулювання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тимчасового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припинення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переоформлення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поновлення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затвердженого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постановою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Кабінету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Міністрів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України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12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січня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2024 р. № 27.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Урахування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відомостей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додатку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3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залежить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від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типу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поданої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заяви.</w:t>
            </w:r>
          </w:p>
        </w:tc>
      </w:tr>
      <w:tr w:rsidR="00F37AF2" w14:paraId="6DB5CCA4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47C84426" w:rsidR="00F37AF2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10</w:t>
            </w:r>
            <w:r w:rsidR="00F37AF2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B35321">
              <w:rPr>
                <w:rFonts w:ascii="Times New Roman" w:hAnsi="Times New Roman" w:cs="Times New Roman"/>
              </w:rPr>
              <w:t>безоплатність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EB8E" w14:textId="77777777" w:rsidR="00F97E5A" w:rsidRDefault="00037A98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Платно</w:t>
            </w:r>
          </w:p>
          <w:p w14:paraId="76B73694" w14:textId="22A79B64" w:rsidR="00037A98" w:rsidRPr="00037A98" w:rsidRDefault="00037A98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037A98">
              <w:rPr>
                <w:rFonts w:ascii="Times New Roman" w:hAnsi="Times New Roman" w:cs="Times New Roman"/>
              </w:rPr>
              <w:t>Розмір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плати (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адміністративний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збір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) за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послуги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видачі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або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поновлення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дії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експлуатаційного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становить 0,17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мінімальної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заробітної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плати у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місячному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розмірі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встановленої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законом на 1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січня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037A98">
              <w:rPr>
                <w:rFonts w:ascii="Times New Roman" w:hAnsi="Times New Roman" w:cs="Times New Roman"/>
              </w:rPr>
              <w:t xml:space="preserve">календарного року, в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якому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заява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подається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оператором ринку в центр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адміністративних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послуг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, до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визначення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розміру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адміністративного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збору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законом.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Переоформлення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експлуатаційного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дозволу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здійснюється</w:t>
            </w:r>
            <w:proofErr w:type="spellEnd"/>
            <w:r w:rsidRPr="00037A9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7A98">
              <w:rPr>
                <w:rFonts w:ascii="Times New Roman" w:hAnsi="Times New Roman" w:cs="Times New Roman"/>
              </w:rPr>
              <w:t>безоплатно</w:t>
            </w:r>
            <w:proofErr w:type="spellEnd"/>
            <w:r w:rsidRPr="00037A98">
              <w:rPr>
                <w:rFonts w:ascii="Times New Roman" w:hAnsi="Times New Roman" w:cs="Times New Roman"/>
              </w:rPr>
              <w:t>.</w:t>
            </w:r>
          </w:p>
        </w:tc>
      </w:tr>
      <w:tr w:rsidR="008D000F" w14:paraId="5D977901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1549E08A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1413ED"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441C95"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Pr="00B35321" w:rsidRDefault="008D000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Строк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757B4472" w:rsidR="00371C32" w:rsidRPr="00B35321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тимчасового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або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відмову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приймається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не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пізніше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30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календарних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 дня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отримання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територіальним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органом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Держпродспоживслужби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відповідної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заяви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оператора ринку, але не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пізніше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трьох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робочих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 дня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завершення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інспектування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Територіальний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орган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Держпродспоживелужби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протягом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10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робочих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після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надходження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заяви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переоформлення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проводить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інспектування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зазначеної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такій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заяві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потужності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Територіальний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орган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Держпродспоживслужби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приймає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рішення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переоформлення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після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інспектування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потужності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за результатами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якого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підтверджено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її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відповідність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вимогам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законодавства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безпечність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окремі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показники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якості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харчових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продуктів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але не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пізніше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двох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робочих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днів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після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підтвердження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такої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відповідності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1413ED" w14:paraId="29F9AF3F" w14:textId="77777777" w:rsidTr="000B28C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207" w14:textId="1E221A1F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681B" w14:textId="22B1ABC4" w:rsidR="001413ED" w:rsidRPr="00B35321" w:rsidRDefault="001413ED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0F89" w14:textId="77777777" w:rsidR="00371C32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n46"/>
            <w:bookmarkEnd w:id="1"/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Підставою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для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відмови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є: 1.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відсутність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заяві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інформації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що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вимагається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згідно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із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законом;</w:t>
            </w:r>
          </w:p>
          <w:p w14:paraId="525F5707" w14:textId="54D15139" w:rsidR="00037A98" w:rsidRPr="00037A98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2.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виявлення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заяві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видачу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експлуатаційного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дозволу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недостовірних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відомостей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335D735A" w14:textId="31BBF8D0" w:rsidR="00037A98" w:rsidRPr="00037A98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lastRenderedPageBreak/>
              <w:t>3</w:t>
            </w:r>
            <w:r w:rsidRPr="00037A98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встановлення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 результатами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інспектування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потужності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її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невідповідності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вимогам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цього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Закону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законодавства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про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безпечність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окремі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показники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якості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харчових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продуктів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; </w:t>
            </w:r>
          </w:p>
          <w:p w14:paraId="29FEAB2D" w14:textId="68318879" w:rsidR="00037A98" w:rsidRPr="00037A98" w:rsidRDefault="00037A98" w:rsidP="00A47297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</w:t>
            </w:r>
            <w:r w:rsidR="00A4729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.</w:t>
            </w:r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незабезпечення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агропродовольчим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ринкам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належних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умов для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роботи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лабораторії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зокрема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ненадання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у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користування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службових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приміщень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забезпечених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опаленням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електропостачанням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вентиляцією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водопостачанням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 xml:space="preserve"> та </w:t>
            </w:r>
            <w:proofErr w:type="spellStart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водовідведенням</w:t>
            </w:r>
            <w:proofErr w:type="spellEnd"/>
            <w:r w:rsidRPr="00037A9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F37AF2" w:rsidRPr="00347B05" w14:paraId="48EAB2D4" w14:textId="77777777" w:rsidTr="00240557">
        <w:trPr>
          <w:trHeight w:val="80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0DF2C29F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lastRenderedPageBreak/>
              <w:t>1</w:t>
            </w:r>
            <w:r w:rsidR="00DA2BB1" w:rsidRPr="00B35321">
              <w:rPr>
                <w:rFonts w:ascii="Times New Roman" w:hAnsi="Times New Roman" w:cs="Times New Roman"/>
                <w:lang w:val="ru-RU"/>
              </w:rPr>
              <w:t>5</w:t>
            </w:r>
            <w:r w:rsidRPr="00B3532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B35321" w:rsidRDefault="00F37AF2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B35321">
              <w:rPr>
                <w:rFonts w:ascii="Times New Roman" w:hAnsi="Times New Roman" w:cs="Times New Roman"/>
              </w:rPr>
              <w:t xml:space="preserve">Результат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надання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адміністративної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9EC9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Залежно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форми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поданої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заяви:</w:t>
            </w:r>
          </w:p>
          <w:p w14:paraId="700859E6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провадження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об'єктів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пов'язаної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виробництвом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та/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зберіганням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харчових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продуктів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тваринного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походження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провадження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об'єктів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пов'язаної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виробництвом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та/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зберіганням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харчових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продуктів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тваринного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походження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0A9D8AF5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Поновлення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провадження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об'єктів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пов'язаної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виробництвом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та/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зберіганням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харчових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продуктів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тваринного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походження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</w:p>
          <w:p w14:paraId="1E980453" w14:textId="0B6DB3F6" w:rsidR="006560E6" w:rsidRPr="00B35321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Переоформлення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для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провадження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об'єктів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пов'язаної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виробництвом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та/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зберіганням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харчових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продуктів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тваринного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походження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C10DE3" w:rsidRPr="00347B05" w14:paraId="1AAC4CFB" w14:textId="77777777" w:rsidTr="009C0410">
        <w:trPr>
          <w:trHeight w:val="69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5309" w14:textId="399E878E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</w:t>
            </w:r>
            <w:r w:rsidR="00AB73AF" w:rsidRPr="00B35321">
              <w:rPr>
                <w:rFonts w:ascii="Times New Roman" w:hAnsi="Times New Roman" w:cs="Times New Roman"/>
                <w:lang w:val="ru-RU"/>
              </w:rPr>
              <w:t>6</w:t>
            </w:r>
            <w:r w:rsidRPr="00B3532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8A08" w14:textId="77777777" w:rsidR="00095BFF" w:rsidRPr="00B35321" w:rsidRDefault="00095BFF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B35321">
              <w:rPr>
                <w:rFonts w:ascii="Times New Roman" w:hAnsi="Times New Roman" w:cs="Times New Roman"/>
              </w:rPr>
              <w:t>Способи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отримання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321">
              <w:rPr>
                <w:rFonts w:ascii="Times New Roman" w:hAnsi="Times New Roman" w:cs="Times New Roman"/>
              </w:rPr>
              <w:t>відповіді</w:t>
            </w:r>
            <w:proofErr w:type="spellEnd"/>
            <w:r w:rsidRPr="00B35321">
              <w:rPr>
                <w:rFonts w:ascii="Times New Roman" w:hAnsi="Times New Roman" w:cs="Times New Roman"/>
              </w:rPr>
              <w:t xml:space="preserve"> (результату)</w:t>
            </w:r>
          </w:p>
          <w:p w14:paraId="7D44208F" w14:textId="427AD062" w:rsidR="00C10DE3" w:rsidRPr="00B35321" w:rsidRDefault="00C10DE3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4E5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відмову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також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продовження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строку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оформлюються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наказом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територіального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органу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Держпродспоживслужби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невідкладно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доводяться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відома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оператора ринку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його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уповноваженої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особи шляхом: </w:t>
            </w:r>
          </w:p>
          <w:p w14:paraId="06D30591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1.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вручення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або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надсилання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їх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використанням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послуг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поштового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зв'язку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рекомендованим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листом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повідомленням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вручення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</w:p>
          <w:p w14:paraId="39A2192B" w14:textId="7B0841D8" w:rsidR="007F5BA0" w:rsidRPr="00B35321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2.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надсилання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 адресу</w:t>
            </w:r>
            <w:proofErr w:type="gram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пошти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чи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передачі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з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використанням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технічних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засобів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електронної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комунікації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68730B" w:rsidRPr="00347B05" w14:paraId="254C633C" w14:textId="77777777" w:rsidTr="00F73574">
        <w:trPr>
          <w:trHeight w:val="84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941D" w14:textId="4D1D966E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B35321">
              <w:rPr>
                <w:rFonts w:ascii="Times New Roman" w:hAnsi="Times New Roman" w:cs="Times New Roman"/>
                <w:lang w:val="ru-RU"/>
              </w:rPr>
              <w:t>17.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1BFD" w14:textId="34B970F9" w:rsidR="0068730B" w:rsidRPr="00B35321" w:rsidRDefault="0068730B" w:rsidP="00A47297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B35321">
              <w:rPr>
                <w:rFonts w:ascii="Times New Roman" w:hAnsi="Times New Roman" w:cs="Times New Roman"/>
                <w:lang w:val="ru-RU"/>
              </w:rPr>
              <w:t>Примітка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723" w14:textId="77777777" w:rsidR="00A47297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відмова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переоформлення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анулювання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)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здійснюється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відповідно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Закону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«Про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дозвільну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систему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сфері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господарської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діяльності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».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Відповідно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вимог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Порядку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відмови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анулювання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припинення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переоформлення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поновлення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затвердженого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постановою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Кабінету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Міністрів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України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12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січня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2024 р. № 27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встановлено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що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видані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вноситься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територіальним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органом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Держпродспоживслужби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державного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реєстру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ринку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на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видано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експлуатаційний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дозвіл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не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наступного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дня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видачу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разі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припинення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це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вноситься до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реєстру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ринку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на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видано 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експлуатаційний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дозвіл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оприлюднюється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Держпродспоживслужбою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на 1T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офіційному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веб-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сайті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наступного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дня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тимчасове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припинення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14:paraId="6B7291B3" w14:textId="00D19DCB" w:rsidR="0068730B" w:rsidRPr="00B35321" w:rsidRDefault="00A47297" w:rsidP="00A47297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інформація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про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поновлення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дії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дозволу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територіальним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вноситься органом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Держпродспоживслужби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реєстру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операторів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ринку та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потужностей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, на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які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видано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експлуатаційний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дозвіл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не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пізніше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наступного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робочого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дня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після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прийняття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відповідного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рішення</w:t>
            </w:r>
            <w:proofErr w:type="spellEnd"/>
            <w:r w:rsidRPr="00A4729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</w:tbl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B64E7"/>
    <w:multiLevelType w:val="hybridMultilevel"/>
    <w:tmpl w:val="45147C4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5A5D8A"/>
    <w:multiLevelType w:val="hybridMultilevel"/>
    <w:tmpl w:val="E05A5FD4"/>
    <w:lvl w:ilvl="0" w:tplc="661A513C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13F555EC"/>
    <w:multiLevelType w:val="hybridMultilevel"/>
    <w:tmpl w:val="E26CDC5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906"/>
    <w:multiLevelType w:val="hybridMultilevel"/>
    <w:tmpl w:val="2224070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610C"/>
    <w:multiLevelType w:val="hybridMultilevel"/>
    <w:tmpl w:val="97FE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9A11E5"/>
    <w:multiLevelType w:val="hybridMultilevel"/>
    <w:tmpl w:val="A26CBB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55AE6"/>
    <w:multiLevelType w:val="hybridMultilevel"/>
    <w:tmpl w:val="661009B8"/>
    <w:lvl w:ilvl="0" w:tplc="86E0DE2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D01798"/>
    <w:multiLevelType w:val="hybridMultilevel"/>
    <w:tmpl w:val="67F6DD4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35A3D"/>
    <w:multiLevelType w:val="hybridMultilevel"/>
    <w:tmpl w:val="6DF015D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005E"/>
    <w:multiLevelType w:val="hybridMultilevel"/>
    <w:tmpl w:val="7968F8D8"/>
    <w:lvl w:ilvl="0" w:tplc="4EC8E352">
      <w:start w:val="1"/>
      <w:numFmt w:val="decimal"/>
      <w:lvlText w:val="%1."/>
      <w:lvlJc w:val="left"/>
      <w:pPr>
        <w:ind w:left="410" w:hanging="39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0" w15:restartNumberingAfterBreak="0">
    <w:nsid w:val="3C112389"/>
    <w:multiLevelType w:val="multilevel"/>
    <w:tmpl w:val="F5C42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1047D0"/>
    <w:multiLevelType w:val="hybridMultilevel"/>
    <w:tmpl w:val="8E4094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478C0"/>
    <w:multiLevelType w:val="hybridMultilevel"/>
    <w:tmpl w:val="83361CA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9FF70A1"/>
    <w:multiLevelType w:val="hybridMultilevel"/>
    <w:tmpl w:val="9D4AABAA"/>
    <w:lvl w:ilvl="0" w:tplc="1F7E98BA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F6C328A"/>
    <w:multiLevelType w:val="hybridMultilevel"/>
    <w:tmpl w:val="06AEB0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16100"/>
    <w:multiLevelType w:val="hybridMultilevel"/>
    <w:tmpl w:val="20FA882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DC2A37"/>
    <w:multiLevelType w:val="hybridMultilevel"/>
    <w:tmpl w:val="3B825970"/>
    <w:lvl w:ilvl="0" w:tplc="99945A12">
      <w:start w:val="1"/>
      <w:numFmt w:val="decimal"/>
      <w:lvlText w:val="%1)"/>
      <w:lvlJc w:val="left"/>
      <w:pPr>
        <w:ind w:left="96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0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E5BF9"/>
    <w:multiLevelType w:val="hybridMultilevel"/>
    <w:tmpl w:val="BE3ECD68"/>
    <w:lvl w:ilvl="0" w:tplc="89F2AA9C">
      <w:start w:val="1"/>
      <w:numFmt w:val="decimal"/>
      <w:lvlText w:val="%1)"/>
      <w:lvlJc w:val="left"/>
      <w:pPr>
        <w:ind w:left="1170" w:hanging="8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5A1CFE"/>
    <w:multiLevelType w:val="hybridMultilevel"/>
    <w:tmpl w:val="8A903E98"/>
    <w:lvl w:ilvl="0" w:tplc="03A427E2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0" w:hanging="360"/>
      </w:pPr>
    </w:lvl>
    <w:lvl w:ilvl="2" w:tplc="2000001B" w:tentative="1">
      <w:start w:val="1"/>
      <w:numFmt w:val="lowerRoman"/>
      <w:lvlText w:val="%3."/>
      <w:lvlJc w:val="right"/>
      <w:pPr>
        <w:ind w:left="1820" w:hanging="180"/>
      </w:pPr>
    </w:lvl>
    <w:lvl w:ilvl="3" w:tplc="2000000F" w:tentative="1">
      <w:start w:val="1"/>
      <w:numFmt w:val="decimal"/>
      <w:lvlText w:val="%4."/>
      <w:lvlJc w:val="left"/>
      <w:pPr>
        <w:ind w:left="2540" w:hanging="360"/>
      </w:pPr>
    </w:lvl>
    <w:lvl w:ilvl="4" w:tplc="20000019" w:tentative="1">
      <w:start w:val="1"/>
      <w:numFmt w:val="lowerLetter"/>
      <w:lvlText w:val="%5."/>
      <w:lvlJc w:val="left"/>
      <w:pPr>
        <w:ind w:left="3260" w:hanging="360"/>
      </w:pPr>
    </w:lvl>
    <w:lvl w:ilvl="5" w:tplc="2000001B" w:tentative="1">
      <w:start w:val="1"/>
      <w:numFmt w:val="lowerRoman"/>
      <w:lvlText w:val="%6."/>
      <w:lvlJc w:val="right"/>
      <w:pPr>
        <w:ind w:left="3980" w:hanging="180"/>
      </w:pPr>
    </w:lvl>
    <w:lvl w:ilvl="6" w:tplc="2000000F" w:tentative="1">
      <w:start w:val="1"/>
      <w:numFmt w:val="decimal"/>
      <w:lvlText w:val="%7."/>
      <w:lvlJc w:val="left"/>
      <w:pPr>
        <w:ind w:left="4700" w:hanging="360"/>
      </w:pPr>
    </w:lvl>
    <w:lvl w:ilvl="7" w:tplc="20000019" w:tentative="1">
      <w:start w:val="1"/>
      <w:numFmt w:val="lowerLetter"/>
      <w:lvlText w:val="%8."/>
      <w:lvlJc w:val="left"/>
      <w:pPr>
        <w:ind w:left="5420" w:hanging="360"/>
      </w:pPr>
    </w:lvl>
    <w:lvl w:ilvl="8" w:tplc="2000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3" w15:restartNumberingAfterBreak="0">
    <w:nsid w:val="69621F36"/>
    <w:multiLevelType w:val="hybridMultilevel"/>
    <w:tmpl w:val="C8A299CE"/>
    <w:lvl w:ilvl="0" w:tplc="724E7FD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6C7D5485"/>
    <w:multiLevelType w:val="hybridMultilevel"/>
    <w:tmpl w:val="58647D02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20C25"/>
    <w:multiLevelType w:val="hybridMultilevel"/>
    <w:tmpl w:val="9788DD3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40B10B9"/>
    <w:multiLevelType w:val="hybridMultilevel"/>
    <w:tmpl w:val="F4E0D4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268C8"/>
    <w:multiLevelType w:val="hybridMultilevel"/>
    <w:tmpl w:val="D5F255F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6"/>
  </w:num>
  <w:num w:numId="3">
    <w:abstractNumId w:val="26"/>
  </w:num>
  <w:num w:numId="4">
    <w:abstractNumId w:val="18"/>
  </w:num>
  <w:num w:numId="5">
    <w:abstractNumId w:val="20"/>
  </w:num>
  <w:num w:numId="6">
    <w:abstractNumId w:val="27"/>
  </w:num>
  <w:num w:numId="7">
    <w:abstractNumId w:val="29"/>
  </w:num>
  <w:num w:numId="8">
    <w:abstractNumId w:val="15"/>
  </w:num>
  <w:num w:numId="9">
    <w:abstractNumId w:val="28"/>
  </w:num>
  <w:num w:numId="10">
    <w:abstractNumId w:val="9"/>
  </w:num>
  <w:num w:numId="11">
    <w:abstractNumId w:val="17"/>
  </w:num>
  <w:num w:numId="12">
    <w:abstractNumId w:val="8"/>
  </w:num>
  <w:num w:numId="13">
    <w:abstractNumId w:val="14"/>
  </w:num>
  <w:num w:numId="14">
    <w:abstractNumId w:val="19"/>
  </w:num>
  <w:num w:numId="15">
    <w:abstractNumId w:val="22"/>
  </w:num>
  <w:num w:numId="16">
    <w:abstractNumId w:val="12"/>
  </w:num>
  <w:num w:numId="17">
    <w:abstractNumId w:val="3"/>
  </w:num>
  <w:num w:numId="18">
    <w:abstractNumId w:val="24"/>
  </w:num>
  <w:num w:numId="19">
    <w:abstractNumId w:val="11"/>
  </w:num>
  <w:num w:numId="20">
    <w:abstractNumId w:val="0"/>
  </w:num>
  <w:num w:numId="21">
    <w:abstractNumId w:val="1"/>
  </w:num>
  <w:num w:numId="22">
    <w:abstractNumId w:val="25"/>
  </w:num>
  <w:num w:numId="23">
    <w:abstractNumId w:val="10"/>
  </w:num>
  <w:num w:numId="24">
    <w:abstractNumId w:val="7"/>
  </w:num>
  <w:num w:numId="25">
    <w:abstractNumId w:val="21"/>
  </w:num>
  <w:num w:numId="26">
    <w:abstractNumId w:val="23"/>
  </w:num>
  <w:num w:numId="27">
    <w:abstractNumId w:val="2"/>
  </w:num>
  <w:num w:numId="28">
    <w:abstractNumId w:val="6"/>
  </w:num>
  <w:num w:numId="29">
    <w:abstractNumId w:val="4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03A2A"/>
    <w:rsid w:val="000079BA"/>
    <w:rsid w:val="00017824"/>
    <w:rsid w:val="000352E5"/>
    <w:rsid w:val="00035AA8"/>
    <w:rsid w:val="000373FC"/>
    <w:rsid w:val="00037A98"/>
    <w:rsid w:val="0007580F"/>
    <w:rsid w:val="00076618"/>
    <w:rsid w:val="00083BEE"/>
    <w:rsid w:val="0008738D"/>
    <w:rsid w:val="00090BC4"/>
    <w:rsid w:val="00095BFF"/>
    <w:rsid w:val="00096B41"/>
    <w:rsid w:val="000A1879"/>
    <w:rsid w:val="000A327C"/>
    <w:rsid w:val="000A456B"/>
    <w:rsid w:val="000B16AB"/>
    <w:rsid w:val="000B28C7"/>
    <w:rsid w:val="000B3D92"/>
    <w:rsid w:val="000C0B53"/>
    <w:rsid w:val="000E0C50"/>
    <w:rsid w:val="00110A47"/>
    <w:rsid w:val="00117C50"/>
    <w:rsid w:val="001413ED"/>
    <w:rsid w:val="001507B8"/>
    <w:rsid w:val="001835D8"/>
    <w:rsid w:val="001A75EF"/>
    <w:rsid w:val="001C2228"/>
    <w:rsid w:val="001E1A20"/>
    <w:rsid w:val="00233A76"/>
    <w:rsid w:val="002351B1"/>
    <w:rsid w:val="00240557"/>
    <w:rsid w:val="00264834"/>
    <w:rsid w:val="0027261E"/>
    <w:rsid w:val="00282E98"/>
    <w:rsid w:val="00283931"/>
    <w:rsid w:val="0028761B"/>
    <w:rsid w:val="002910C3"/>
    <w:rsid w:val="002917B8"/>
    <w:rsid w:val="00294A17"/>
    <w:rsid w:val="0029705E"/>
    <w:rsid w:val="002A25B1"/>
    <w:rsid w:val="002B3A39"/>
    <w:rsid w:val="002E7EC4"/>
    <w:rsid w:val="002F2CCF"/>
    <w:rsid w:val="00324CC6"/>
    <w:rsid w:val="00347B05"/>
    <w:rsid w:val="00371C32"/>
    <w:rsid w:val="003817DA"/>
    <w:rsid w:val="00384C7C"/>
    <w:rsid w:val="0039622F"/>
    <w:rsid w:val="003B4343"/>
    <w:rsid w:val="003D791C"/>
    <w:rsid w:val="003F46CD"/>
    <w:rsid w:val="00412ACB"/>
    <w:rsid w:val="00413930"/>
    <w:rsid w:val="0041480E"/>
    <w:rsid w:val="004240DF"/>
    <w:rsid w:val="00427992"/>
    <w:rsid w:val="00431253"/>
    <w:rsid w:val="004355AE"/>
    <w:rsid w:val="00441C95"/>
    <w:rsid w:val="004565C5"/>
    <w:rsid w:val="0045709C"/>
    <w:rsid w:val="0046038D"/>
    <w:rsid w:val="00460D44"/>
    <w:rsid w:val="0046364F"/>
    <w:rsid w:val="00463EDF"/>
    <w:rsid w:val="00476BF5"/>
    <w:rsid w:val="00485852"/>
    <w:rsid w:val="004877FF"/>
    <w:rsid w:val="00491E76"/>
    <w:rsid w:val="004A47FF"/>
    <w:rsid w:val="004A705B"/>
    <w:rsid w:val="004B12E7"/>
    <w:rsid w:val="004B5A69"/>
    <w:rsid w:val="004B71A5"/>
    <w:rsid w:val="004C4112"/>
    <w:rsid w:val="004D59C9"/>
    <w:rsid w:val="00532821"/>
    <w:rsid w:val="00533CC1"/>
    <w:rsid w:val="00544AFB"/>
    <w:rsid w:val="00571385"/>
    <w:rsid w:val="005B284A"/>
    <w:rsid w:val="005B6D0C"/>
    <w:rsid w:val="005C0299"/>
    <w:rsid w:val="005C53DC"/>
    <w:rsid w:val="005C7208"/>
    <w:rsid w:val="005F13A8"/>
    <w:rsid w:val="006006CA"/>
    <w:rsid w:val="0060277F"/>
    <w:rsid w:val="00611783"/>
    <w:rsid w:val="00621B37"/>
    <w:rsid w:val="006275EE"/>
    <w:rsid w:val="006356D0"/>
    <w:rsid w:val="0065422C"/>
    <w:rsid w:val="006560E6"/>
    <w:rsid w:val="00661862"/>
    <w:rsid w:val="00673142"/>
    <w:rsid w:val="0068730B"/>
    <w:rsid w:val="006E459C"/>
    <w:rsid w:val="006F15B3"/>
    <w:rsid w:val="00705B66"/>
    <w:rsid w:val="00737F8F"/>
    <w:rsid w:val="007547CC"/>
    <w:rsid w:val="007862C4"/>
    <w:rsid w:val="00795714"/>
    <w:rsid w:val="007A2214"/>
    <w:rsid w:val="007A575F"/>
    <w:rsid w:val="007B71C5"/>
    <w:rsid w:val="007D5788"/>
    <w:rsid w:val="007F164A"/>
    <w:rsid w:val="007F3408"/>
    <w:rsid w:val="007F5BA0"/>
    <w:rsid w:val="00810A32"/>
    <w:rsid w:val="008238AE"/>
    <w:rsid w:val="008260A0"/>
    <w:rsid w:val="00827209"/>
    <w:rsid w:val="00834AEB"/>
    <w:rsid w:val="00840A64"/>
    <w:rsid w:val="00893B0F"/>
    <w:rsid w:val="008960AF"/>
    <w:rsid w:val="008967B8"/>
    <w:rsid w:val="00896839"/>
    <w:rsid w:val="008A62E8"/>
    <w:rsid w:val="008B5A71"/>
    <w:rsid w:val="008D000F"/>
    <w:rsid w:val="008D0AD7"/>
    <w:rsid w:val="008D1AD4"/>
    <w:rsid w:val="008D239B"/>
    <w:rsid w:val="008D6A38"/>
    <w:rsid w:val="00907B31"/>
    <w:rsid w:val="0092456A"/>
    <w:rsid w:val="00943915"/>
    <w:rsid w:val="00986CD1"/>
    <w:rsid w:val="009A655B"/>
    <w:rsid w:val="009C0410"/>
    <w:rsid w:val="009D5F1F"/>
    <w:rsid w:val="009F5696"/>
    <w:rsid w:val="00A04D96"/>
    <w:rsid w:val="00A05ECE"/>
    <w:rsid w:val="00A07D4A"/>
    <w:rsid w:val="00A115C5"/>
    <w:rsid w:val="00A3353C"/>
    <w:rsid w:val="00A33BC0"/>
    <w:rsid w:val="00A47297"/>
    <w:rsid w:val="00A73051"/>
    <w:rsid w:val="00A7315E"/>
    <w:rsid w:val="00A77EC9"/>
    <w:rsid w:val="00A82953"/>
    <w:rsid w:val="00AB73AF"/>
    <w:rsid w:val="00AC57BB"/>
    <w:rsid w:val="00AF3ED8"/>
    <w:rsid w:val="00B14709"/>
    <w:rsid w:val="00B26933"/>
    <w:rsid w:val="00B31082"/>
    <w:rsid w:val="00B35321"/>
    <w:rsid w:val="00B4402F"/>
    <w:rsid w:val="00B4566A"/>
    <w:rsid w:val="00B46210"/>
    <w:rsid w:val="00B663B4"/>
    <w:rsid w:val="00B952A2"/>
    <w:rsid w:val="00B95765"/>
    <w:rsid w:val="00BB07B8"/>
    <w:rsid w:val="00C10DE3"/>
    <w:rsid w:val="00C21D8C"/>
    <w:rsid w:val="00C24F33"/>
    <w:rsid w:val="00C26188"/>
    <w:rsid w:val="00C264FD"/>
    <w:rsid w:val="00C5219B"/>
    <w:rsid w:val="00C63B53"/>
    <w:rsid w:val="00C72357"/>
    <w:rsid w:val="00C8165B"/>
    <w:rsid w:val="00C972C0"/>
    <w:rsid w:val="00CE284F"/>
    <w:rsid w:val="00D11C68"/>
    <w:rsid w:val="00D2607D"/>
    <w:rsid w:val="00D27428"/>
    <w:rsid w:val="00D30A08"/>
    <w:rsid w:val="00D93D01"/>
    <w:rsid w:val="00DA2BB1"/>
    <w:rsid w:val="00DA3E0C"/>
    <w:rsid w:val="00DB3A5B"/>
    <w:rsid w:val="00DB7D80"/>
    <w:rsid w:val="00DC39C3"/>
    <w:rsid w:val="00DE5230"/>
    <w:rsid w:val="00E018D6"/>
    <w:rsid w:val="00E07C33"/>
    <w:rsid w:val="00E26C02"/>
    <w:rsid w:val="00E271D0"/>
    <w:rsid w:val="00E305BE"/>
    <w:rsid w:val="00E571EB"/>
    <w:rsid w:val="00E80942"/>
    <w:rsid w:val="00E86756"/>
    <w:rsid w:val="00E963CE"/>
    <w:rsid w:val="00EF4E4C"/>
    <w:rsid w:val="00F25F5D"/>
    <w:rsid w:val="00F37AF2"/>
    <w:rsid w:val="00F65105"/>
    <w:rsid w:val="00F7236D"/>
    <w:rsid w:val="00F73574"/>
    <w:rsid w:val="00F97E5A"/>
    <w:rsid w:val="00FB7AED"/>
    <w:rsid w:val="00FD200B"/>
    <w:rsid w:val="00FF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076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07138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28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2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73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067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9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9655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291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476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174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5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5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13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41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43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7277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75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203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67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4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2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4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8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8132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74855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6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05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0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0111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190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391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6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654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912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266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570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522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31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67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84896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567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989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BB0C0-40C4-4BD9-A205-58320F244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1568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311</cp:revision>
  <cp:lastPrinted>2023-11-27T12:28:00Z</cp:lastPrinted>
  <dcterms:created xsi:type="dcterms:W3CDTF">2023-09-27T12:41:00Z</dcterms:created>
  <dcterms:modified xsi:type="dcterms:W3CDTF">2025-12-18T14:09:00Z</dcterms:modified>
</cp:coreProperties>
</file>