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B28F6" w14:textId="7AFBD24E" w:rsidR="00FC737D" w:rsidRDefault="00FC737D" w:rsidP="00FC737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324</w:t>
      </w:r>
      <w:bookmarkStart w:id="0" w:name="_GoBack"/>
      <w:bookmarkEnd w:id="0"/>
    </w:p>
    <w:p w14:paraId="24FF473A" w14:textId="77777777" w:rsidR="00FC737D" w:rsidRDefault="00FC737D" w:rsidP="00FC737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05C3816" w14:textId="77777777" w:rsidR="00FC737D" w:rsidRDefault="00FC737D" w:rsidP="00FC737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EF8CB0B" w14:textId="2D2FC4C6" w:rsidR="00C867F0" w:rsidRPr="00C867F0" w:rsidRDefault="00C90BAA" w:rsidP="00C90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ru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Надання державної соціальної допомоги на догляд</w:t>
      </w:r>
    </w:p>
    <w:p w14:paraId="61CD6F20" w14:textId="77777777" w:rsidR="00501FB8" w:rsidRPr="00C867F0" w:rsidRDefault="00501FB8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UA" w:eastAsia="uk-UA"/>
        </w:rPr>
      </w:pPr>
    </w:p>
    <w:p w14:paraId="60693FD0" w14:textId="116BF6E6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683" w14:textId="77777777" w:rsidR="00C867F0" w:rsidRPr="00C867F0" w:rsidRDefault="00C867F0" w:rsidP="00C867F0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C867F0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730D1BFB" w14:textId="2C1EE51E" w:rsidR="00C867F0" w:rsidRPr="00C867F0" w:rsidRDefault="00C867F0" w:rsidP="00C867F0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C867F0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надання інформації щодо умов та порядку подання документів щодо державної </w:t>
            </w:r>
            <w:r w:rsidR="00C90BAA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соціальної допомоги на догляд</w:t>
            </w:r>
            <w:r w:rsidRPr="00C867F0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14:paraId="58F75575" w14:textId="77777777" w:rsidR="00C867F0" w:rsidRPr="00C867F0" w:rsidRDefault="00C867F0" w:rsidP="00C867F0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867F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23964B4A" w14:textId="173180DC" w:rsidR="00C867F0" w:rsidRPr="00C867F0" w:rsidRDefault="00C867F0" w:rsidP="00C867F0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867F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4) сканування документів (паспорта, картки платника податків, </w:t>
            </w:r>
            <w:r w:rsidR="00C90BA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заяви</w:t>
            </w:r>
            <w:r w:rsidRPr="00C867F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90BA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декларації про доходи осіб, які звернулися за призначенням державної соціальної допомоги, копії рішення суду про визнання особи недієздатною, копії рішення суду про призначення опікуна, висновок ЛКК</w:t>
            </w:r>
            <w:r w:rsidRPr="00C867F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тощо) засвідчення їх кваліфікованим електронним підписом;</w:t>
            </w:r>
          </w:p>
          <w:p w14:paraId="57D30AEE" w14:textId="77777777" w:rsidR="00C867F0" w:rsidRPr="00C867F0" w:rsidRDefault="00C867F0" w:rsidP="00C867F0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867F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501FB8" w:rsidRDefault="008B4287" w:rsidP="00C867F0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831043A" w:rsidR="008B4287" w:rsidRPr="000B532B" w:rsidRDefault="00501FB8" w:rsidP="00501FB8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501FB8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09A949DD" w:rsidR="00036EF7" w:rsidRPr="00037A0B" w:rsidRDefault="00C867F0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C867F0">
              <w:rPr>
                <w:sz w:val="24"/>
                <w:szCs w:val="24"/>
                <w:lang w:eastAsia="uk-UA"/>
              </w:rPr>
              <w:t xml:space="preserve">Прийняття рішення про призначення/відмову в призначенні </w:t>
            </w:r>
            <w:r w:rsidR="00C90BAA">
              <w:rPr>
                <w:sz w:val="24"/>
                <w:szCs w:val="24"/>
                <w:lang w:eastAsia="uk-UA"/>
              </w:rPr>
              <w:t>допомоги на догляд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60CA3D2" w:rsidR="00F138B2" w:rsidRPr="00F366CD" w:rsidRDefault="000B532B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0B532B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ED6C3F">
              <w:rPr>
                <w:rFonts w:eastAsia="Times New Roman"/>
                <w:sz w:val="24"/>
                <w:szCs w:val="24"/>
                <w:lang w:val="ru-RU" w:eastAsia="uk-UA"/>
              </w:rPr>
              <w:t>5</w:t>
            </w:r>
            <w:r w:rsidRPr="000B532B">
              <w:rPr>
                <w:rFonts w:eastAsia="Times New Roman"/>
                <w:sz w:val="24"/>
                <w:szCs w:val="24"/>
                <w:lang w:eastAsia="uk-UA"/>
              </w:rPr>
              <w:t xml:space="preserve"> 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F4B79"/>
    <w:rsid w:val="00501FB8"/>
    <w:rsid w:val="005F5BCA"/>
    <w:rsid w:val="006534BF"/>
    <w:rsid w:val="00653A93"/>
    <w:rsid w:val="006F6F6C"/>
    <w:rsid w:val="007C0B82"/>
    <w:rsid w:val="007F66E0"/>
    <w:rsid w:val="00835229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C737D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5E17-5DF1-42E4-B682-00C114FE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53</cp:revision>
  <dcterms:created xsi:type="dcterms:W3CDTF">2021-03-24T07:14:00Z</dcterms:created>
  <dcterms:modified xsi:type="dcterms:W3CDTF">2025-12-19T09:44:00Z</dcterms:modified>
</cp:coreProperties>
</file>