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D3A3D" w14:textId="5E33AF41" w:rsidR="00F164C2" w:rsidRDefault="004D59C9" w:rsidP="00F164C2">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F164C2">
        <w:rPr>
          <w:rFonts w:ascii="Times New Roman" w:hAnsi="Times New Roman" w:cs="Times New Roman"/>
          <w:sz w:val="28"/>
          <w:szCs w:val="28"/>
        </w:rPr>
        <w:t xml:space="preserve">Додаток </w:t>
      </w:r>
      <w:r w:rsidR="00F164C2">
        <w:rPr>
          <w:rFonts w:ascii="Times New Roman" w:hAnsi="Times New Roman" w:cs="Times New Roman"/>
          <w:sz w:val="28"/>
          <w:szCs w:val="28"/>
          <w:lang w:val="uk-UA"/>
        </w:rPr>
        <w:t xml:space="preserve"> 1.3</w:t>
      </w:r>
      <w:r w:rsidR="00F164C2">
        <w:rPr>
          <w:rFonts w:ascii="Times New Roman" w:hAnsi="Times New Roman" w:cs="Times New Roman"/>
          <w:sz w:val="28"/>
          <w:szCs w:val="28"/>
          <w:lang w:val="uk-UA"/>
        </w:rPr>
        <w:t>32</w:t>
      </w:r>
      <w:bookmarkStart w:id="0" w:name="_GoBack"/>
      <w:bookmarkEnd w:id="0"/>
    </w:p>
    <w:p w14:paraId="44601B17" w14:textId="77777777" w:rsidR="00F164C2" w:rsidRDefault="00F164C2" w:rsidP="00F164C2">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35FC0E88" w14:textId="77777777" w:rsidR="00F164C2" w:rsidRDefault="00F164C2" w:rsidP="00F164C2">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21C654B2" w:rsidR="00F37AF2" w:rsidRPr="006275EE" w:rsidRDefault="00F37AF2" w:rsidP="00F164C2">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10E9316B" w:rsidR="00F37AF2" w:rsidRPr="006E459C"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6E459C" w:rsidRPr="006E459C">
        <w:rPr>
          <w:rFonts w:ascii="Times New Roman" w:hAnsi="Times New Roman" w:cs="Times New Roman"/>
          <w:b/>
          <w:bCs/>
          <w:sz w:val="28"/>
          <w:szCs w:val="28"/>
        </w:rPr>
        <w:t>1191</w:t>
      </w:r>
    </w:p>
    <w:p w14:paraId="3AD6090D" w14:textId="5E8D7FB5" w:rsidR="006E459C" w:rsidRDefault="006E459C" w:rsidP="006275EE">
      <w:pPr>
        <w:tabs>
          <w:tab w:val="left" w:pos="3828"/>
        </w:tabs>
        <w:jc w:val="center"/>
        <w:rPr>
          <w:rFonts w:ascii="Times New Roman" w:eastAsia="Times New Roman" w:hAnsi="Times New Roman" w:cs="Times New Roman"/>
          <w:b/>
          <w:bCs/>
          <w:sz w:val="32"/>
          <w:szCs w:val="32"/>
          <w:lang w:eastAsia="ru-RU"/>
        </w:rPr>
      </w:pPr>
      <w:r w:rsidRPr="006E459C">
        <w:rPr>
          <w:rFonts w:ascii="Times New Roman" w:eastAsia="Times New Roman" w:hAnsi="Times New Roman" w:cs="Times New Roman"/>
          <w:b/>
          <w:bCs/>
          <w:sz w:val="32"/>
          <w:szCs w:val="32"/>
          <w:lang w:eastAsia="ru-RU"/>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p w14:paraId="6343AF82" w14:textId="5D199E2D"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077BB273" w14:textId="77777777" w:rsidR="00DC39C3" w:rsidRPr="00DC39C3"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статус і соціальний захист громадян, які постраждали внаслідок Чорнобильської катастрофи”;</w:t>
            </w:r>
          </w:p>
          <w:p w14:paraId="44425DCD" w14:textId="2F798ADE" w:rsidR="00F37AF2" w:rsidRPr="00096B41"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адміністративну процедуру”.</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1B3612D"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 xml:space="preserve">Порядок віднесення громадян із числа тих, які брали участь у ліквідації інших ядерних аварій, у ядерних </w:t>
            </w:r>
            <w:r w:rsidRPr="000C0B53">
              <w:rPr>
                <w:rFonts w:ascii="Times New Roman" w:hAnsi="Times New Roman" w:cs="Times New Roman"/>
                <w:sz w:val="24"/>
                <w:szCs w:val="24"/>
                <w:lang w:val="uk-UA"/>
              </w:rPr>
              <w:lastRenderedPageBreak/>
              <w:t>випробуваннях, у військових навчаннях із застосуванням ядерної зброї, у складанні ядерних зарядів та проведенні на них регламентних робіт або постраждали за інших обставин від радіаційного опромінення не з власної вини, до відповідних категорій осіб, які постраждали внаслідок Чорнобильської катастрофи, затверджений постановою Кабінету Міністрів України від 02 грудня 1992 року № 674;</w:t>
            </w:r>
          </w:p>
          <w:p w14:paraId="09A3E2AD"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Порядок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затверджений постановою Кабінету Міністрів України від 20 вересня 2005 року № 936;</w:t>
            </w:r>
          </w:p>
          <w:p w14:paraId="6F3BCCE7"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29 січня 2003 року № 117 “Про Реєстр осіб, які мають право на пільги”;</w:t>
            </w:r>
          </w:p>
          <w:p w14:paraId="6430B3C0"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14 травня 2015 року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p w14:paraId="3B6CB414"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затверджений постановою Кабінету Міністрів України від 26 жовтня 2016 року № 760;</w:t>
            </w:r>
          </w:p>
          <w:p w14:paraId="5445293F"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 постанова Кабінету Міністрів України від 11 липня 2018 року № 551 “Деякі питання видачі посвідчень особам, які постраждали внаслідок Чорнобильської катастрофи, та іншим категоріям громадян”;</w:t>
            </w:r>
          </w:p>
          <w:p w14:paraId="759D7F42" w14:textId="7C4C48C0" w:rsidR="00F37AF2" w:rsidRPr="002910C3" w:rsidRDefault="000C0B53" w:rsidP="000C0B53">
            <w:pPr>
              <w:shd w:val="clear" w:color="auto" w:fill="FFFFFF"/>
              <w:spacing w:line="240" w:lineRule="auto"/>
              <w:ind w:right="235"/>
              <w:jc w:val="both"/>
              <w:rPr>
                <w:rFonts w:ascii="Times New Roman" w:hAnsi="Times New Roman" w:cs="Times New Roman"/>
                <w:sz w:val="24"/>
                <w:szCs w:val="24"/>
              </w:rPr>
            </w:pPr>
            <w:r w:rsidRPr="000C0B53">
              <w:rPr>
                <w:rFonts w:ascii="Times New Roman" w:hAnsi="Times New Roman" w:cs="Times New Roman"/>
                <w:sz w:val="24"/>
                <w:szCs w:val="24"/>
                <w:lang w:val="uk-UA"/>
              </w:rPr>
              <w:t>постанова Кабінету Міністрів України від 08 вересня 2016 року № 606 «Деякі питання електронної взаємодії електронних інформаційних ресурсів».</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145DCF91" w14:textId="77777777" w:rsidR="00DC39C3" w:rsidRPr="00DC39C3" w:rsidRDefault="00DC39C3" w:rsidP="00DC39C3">
            <w:pPr>
              <w:tabs>
                <w:tab w:val="left" w:pos="3828"/>
              </w:tabs>
              <w:spacing w:line="240" w:lineRule="auto"/>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14:paraId="57987542" w14:textId="590F889C" w:rsidR="00B952A2" w:rsidRPr="00DC39C3" w:rsidRDefault="00B952A2" w:rsidP="00DC39C3">
            <w:pPr>
              <w:tabs>
                <w:tab w:val="left" w:pos="3828"/>
              </w:tabs>
              <w:spacing w:line="240" w:lineRule="auto"/>
              <w:jc w:val="both"/>
              <w:rPr>
                <w:rFonts w:ascii="Times New Roman" w:hAnsi="Times New Roman" w:cs="Times New Roman"/>
                <w:sz w:val="24"/>
                <w:szCs w:val="24"/>
                <w:lang w:val="uk-UA"/>
              </w:rPr>
            </w:pP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0B28C7">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39360812" w:rsidR="00D27428" w:rsidRPr="005C0299" w:rsidRDefault="00DC39C3">
            <w:pPr>
              <w:tabs>
                <w:tab w:val="left" w:pos="3828"/>
              </w:tabs>
              <w:spacing w:line="240" w:lineRule="auto"/>
              <w:rPr>
                <w:rFonts w:ascii="Times New Roman" w:hAnsi="Times New Roman" w:cs="Times New Roman"/>
                <w:sz w:val="24"/>
                <w:szCs w:val="24"/>
                <w:lang w:val="ru-RU"/>
              </w:rPr>
            </w:pPr>
            <w:r w:rsidRPr="00DC39C3">
              <w:rPr>
                <w:rFonts w:ascii="Times New Roman" w:hAnsi="Times New Roman" w:cs="Times New Roman"/>
                <w:sz w:val="24"/>
                <w:szCs w:val="24"/>
                <w:lang w:val="uk-UA"/>
              </w:rPr>
              <w:t>Особи, які мають право на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9852E55"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Учасники ліквідації наслідків аварії на Чорнобильській АЕС, які стали особами з інвалідністю внаслідок Чорнобильської катастрофи; учасники ліквідації наслідків інших ядерних аварій, особи, які брали участь у ядерних випробуваннях, військових навчаннях із застосуванням ядерної зброї, складанні ядерних зарядів та здійсненні на них регламентних робіт, які стали особами з інвалідністю внаслідок відповідних ядерних аварій та випробувань, участі у військових навчаннях із застосуванням ядерної зброї, складанні ядерних зарядів та здійсненні на них регламентних робіт; дружини (чоловіки),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p w14:paraId="454F3E08"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непрацездатні члени сім’ї померлого годувальника з числа осіб, віднесених до учасників ліквідації наслідків аварії на Чорнобильській АЕС, що були на утриманні померлого на момент його смерті;</w:t>
            </w:r>
          </w:p>
          <w:p w14:paraId="0C0B99DE"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батьки померлого із числа осіб, віднесених до учасників ліквідації наслідків аварії на Чорнобильській АЕС та смерть яких пов’язана з</w:t>
            </w:r>
          </w:p>
          <w:p w14:paraId="341A8EC6"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Чорнобильською катастрофою; законний представник дитини з інвалідністю, інвалідність якої пов’язана з Чорнобильською катастрофою, недієздатних або обмежено дієздатних осіб;</w:t>
            </w:r>
          </w:p>
          <w:p w14:paraId="22D4D2E7" w14:textId="79E41373" w:rsidR="00D27428" w:rsidRPr="00240557" w:rsidRDefault="000C0B53" w:rsidP="000C0B53">
            <w:pPr>
              <w:spacing w:line="240" w:lineRule="auto"/>
              <w:ind w:firstLine="20"/>
              <w:jc w:val="both"/>
              <w:rPr>
                <w:rFonts w:ascii="Times New Roman" w:eastAsia="Times New Roman" w:hAnsi="Times New Roman" w:cs="Times New Roman"/>
                <w:color w:val="000000"/>
                <w:lang w:eastAsia="uk-UA"/>
              </w:rPr>
            </w:pPr>
            <w:r w:rsidRPr="000C0B53">
              <w:rPr>
                <w:rFonts w:ascii="Times New Roman" w:eastAsia="Times New Roman" w:hAnsi="Times New Roman" w:cs="Times New Roman"/>
                <w:color w:val="000000"/>
                <w:lang w:val="uk-UA" w:eastAsia="uk-UA"/>
              </w:rPr>
              <w:t>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30281529" w:rsidR="00DC39C3"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Borders>
              <w:top w:val="single" w:sz="4" w:space="0" w:color="auto"/>
              <w:left w:val="single" w:sz="4" w:space="0" w:color="auto"/>
              <w:bottom w:val="single" w:sz="4" w:space="0" w:color="auto"/>
              <w:right w:val="single" w:sz="4" w:space="0" w:color="auto"/>
            </w:tcBorders>
          </w:tcPr>
          <w:p w14:paraId="69D89FBF" w14:textId="54605E47" w:rsidR="00DC39C3" w:rsidRPr="00DC39C3" w:rsidRDefault="00DC39C3">
            <w:pPr>
              <w:tabs>
                <w:tab w:val="left" w:pos="3828"/>
              </w:tabs>
              <w:spacing w:line="240" w:lineRule="auto"/>
              <w:rPr>
                <w:rFonts w:ascii="Times New Roman" w:hAnsi="Times New Roman" w:cs="Times New Roman"/>
                <w:sz w:val="24"/>
                <w:szCs w:val="24"/>
                <w:lang w:val="uk-UA"/>
              </w:rPr>
            </w:pPr>
            <w:r w:rsidRPr="00DC39C3">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675528E" w14:textId="3BCD5A43" w:rsidR="00DC39C3" w:rsidRPr="00DC39C3" w:rsidRDefault="00DC39C3" w:rsidP="00DC39C3">
            <w:pPr>
              <w:spacing w:line="240" w:lineRule="auto"/>
              <w:ind w:firstLine="20"/>
              <w:jc w:val="both"/>
              <w:rPr>
                <w:rFonts w:ascii="Times New Roman" w:eastAsia="Times New Roman" w:hAnsi="Times New Roman" w:cs="Times New Roman"/>
                <w:color w:val="000000"/>
                <w:lang w:val="uk-UA" w:eastAsia="uk-UA"/>
              </w:rPr>
            </w:pPr>
            <w:r w:rsidRPr="00DC39C3">
              <w:rPr>
                <w:rFonts w:ascii="Times New Roman" w:eastAsia="Times New Roman" w:hAnsi="Times New Roman" w:cs="Times New Roman"/>
                <w:color w:val="000000"/>
                <w:lang w:val="uk-UA" w:eastAsia="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2C71CC7C" w:rsidR="005C0299"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5C0299">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4D8B0B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800446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документи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 заява за формою, затвердженою Постановою № 765; додаткові документи та/або відомості за шкоду, заподіяну здоров’ю:</w:t>
            </w:r>
          </w:p>
          <w:p w14:paraId="2D4D2126"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lastRenderedPageBreak/>
              <w:t>посвідчення, що підтверджує статус осіб, які постраждали внаслідок Чорнобильської катастрофи, інших ядерних аварій та випробувань, військових навчань із застосуванням ядерної зброї, віднесених до категорії 1; 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у системі МВС, СБУ чи Міноборони; довідка медико-соціальної експертної комісії або витяг з рішення експертної команди з оцінювання повсякденного функціонування особи про встановлення інвалідності відповідної групи, пов’язаної з наслідками Чорнобильської катастрофи,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w:t>
            </w:r>
          </w:p>
          <w:p w14:paraId="02FD80B5"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 разі встановлення дитині інвалідності, пов’язаної з Чорнобильською катастрофою:</w:t>
            </w:r>
          </w:p>
          <w:p w14:paraId="523F4152"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посвідчення</w:t>
            </w:r>
            <w:r w:rsidRPr="000C0B53">
              <w:rPr>
                <w:rFonts w:ascii="Times New Roman" w:eastAsia="Times New Roman" w:hAnsi="Times New Roman" w:cs="Times New Roman"/>
                <w:color w:val="000000"/>
                <w:lang w:val="uk-UA" w:eastAsia="uk-UA"/>
              </w:rPr>
              <w:tab/>
              <w:t>потерпілої</w:t>
            </w:r>
            <w:r w:rsidRPr="000C0B53">
              <w:rPr>
                <w:rFonts w:ascii="Times New Roman" w:eastAsia="Times New Roman" w:hAnsi="Times New Roman" w:cs="Times New Roman"/>
                <w:color w:val="000000"/>
                <w:lang w:val="uk-UA" w:eastAsia="uk-UA"/>
              </w:rPr>
              <w:tab/>
              <w:t>дитини</w:t>
            </w:r>
            <w:r w:rsidRPr="000C0B53">
              <w:rPr>
                <w:rFonts w:ascii="Times New Roman" w:eastAsia="Times New Roman" w:hAnsi="Times New Roman" w:cs="Times New Roman"/>
                <w:color w:val="000000"/>
                <w:lang w:val="uk-UA" w:eastAsia="uk-UA"/>
              </w:rPr>
              <w:tab/>
              <w:t>серії</w:t>
            </w:r>
            <w:r w:rsidRPr="000C0B53">
              <w:rPr>
                <w:rFonts w:ascii="Times New Roman" w:eastAsia="Times New Roman" w:hAnsi="Times New Roman" w:cs="Times New Roman"/>
                <w:color w:val="000000"/>
                <w:lang w:val="uk-UA" w:eastAsia="uk-UA"/>
              </w:rPr>
              <w:tab/>
              <w:t>“Д” (із вкладкою); свідоцтво про народження дитини;</w:t>
            </w:r>
          </w:p>
          <w:p w14:paraId="5FB9CF04"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експертний висновок дитячої спеціалізованої лікарсько-консультативної комісії з установлення причинного зв’язку хвороби, патологічних станів та інвалідності з дією іонізуючого випромінення та інших шкідливих чинників внаслідок аварії на Чорнобильській АЕС;</w:t>
            </w:r>
          </w:p>
          <w:p w14:paraId="7647B054"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медичний висновок про дитину з інвалідністю віком до 18 років.</w:t>
            </w:r>
          </w:p>
          <w:p w14:paraId="37448B9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 зв’язку з втратою годувальника:</w:t>
            </w:r>
          </w:p>
          <w:p w14:paraId="5BABEA1C"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свідоцтво про смерть;</w:t>
            </w:r>
          </w:p>
          <w:p w14:paraId="6D410E3C"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 що підтверджує статус громадян, які постраждали внаслідок Чорнобильської катастрофи, інших ядерних аварій та випробувань, військових навчань із застосуванням ядерної зброї, складення ядерних зарядів та здійснення на них регламентних робіт, із числа осіб, віднесених до учасників ліквідації наслідків аварії на Чорнобильській АЕС;</w:t>
            </w:r>
          </w:p>
          <w:p w14:paraId="73CBFA5F"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 документи про перебування на утриманні померлого одержувача одноразової компенсації – відомості про місце проживання (разом з померлим одержувачем одноразової компенсації за однією адресою) або документи, видані відповідно до чинного законодавства за місцем проживання особи, зокрема органом місцевого самоврядування, що підтверджують такий факт;</w:t>
            </w:r>
          </w:p>
          <w:p w14:paraId="735101F9"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документи, що підтверджують належність заявника, до непрацездатних членів сім’ї, зазначених у частині другій </w:t>
            </w:r>
            <w:r w:rsidRPr="000C0B53">
              <w:rPr>
                <w:rFonts w:ascii="Times New Roman" w:eastAsia="Times New Roman" w:hAnsi="Times New Roman" w:cs="Times New Roman"/>
                <w:color w:val="000000"/>
                <w:lang w:val="uk-UA" w:eastAsia="uk-UA"/>
              </w:rPr>
              <w:lastRenderedPageBreak/>
              <w:t>статті 36 Закону України “Про загальнообов’язкове державне пенсійне страхування”:</w:t>
            </w:r>
          </w:p>
          <w:p w14:paraId="05C5AA3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документи, що засвідчують родинні стосунки члена сім’ї з померлим одержувачем одноразової компенсації – паспорт, свідоцтво про народження, свідоцтво про шлюб, а також рішення суду; довідки загальноосвітніх навчальних закладів системи загальної середньої освіти, професійнотехнічних, вищих навчальних закладів, закладів освіти за кордоном про те, що діти одержувача одноразової компенсації (у тому числі діти, які народилися до спливу 10 місяців з дня його смерті), які не досягли 18 років або старші цього віку, якщо вони стали особами з інвалідністю до досягнення 18 років, навчаються за денною формою навчання; документи про те, що чоловік (дружина), а в разі їх відсутності – один з батьків, дід, баба, брат чи сестра померлого одержувача одноразової компенсації незалежно від віку і працездатності не працюють і зайняті доглядом за дитиною (дітьми) померлого одержувача одноразової компенсації до досягнення нею (ними) 8 років – свідоцтво про народження дитини, документи, що підтверджують родинні стосунки, рішення органу опіки та піклування про встановлення опіки або рішення суду та документи, які підтверджують, що особа не працює (копія наказу (розпорядження) про звільнення з роботи, трудова книжка або відомості про трудову діяльність із реєстру застрахованих осіб Державного реєстру загальнообов’язкового державного соціального страхування та відомості про відсутність інформації про державну реєстрацію фізичної особи – підприємця за наявними в органі, що призначає одноразову компенсацію, даними. У разі відсутності у зареєстрованої (взятої на облік) внутрішньо переміщеної особи документів, що підтверджують факт звільнення (припинення зайнятості), факт звільнення з роботи встановлюється на підставі особистої заяви із зазначенням дати, з якої особа не працює, та поясненням обставин, у зв’язку з якими неможливо внести запис у трудову книжку чи надати оригінал трудової книжки, копію наказу (розпорядження) про звільнення).</w:t>
            </w:r>
          </w:p>
          <w:p w14:paraId="0B1FC41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Батькам померлого учасника ліквідації наслідків аварії на Чорнобильській АЕС, смерть якого пов’язана з Чорнобильською катастрофою: свідоцтво про смерть;</w:t>
            </w:r>
          </w:p>
          <w:p w14:paraId="5CB2847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 що підтверджує статус громадян, які постраждали внаслідок Чорнобильської катастрофи, із числа осіб, віднесених до учасників ліквідації наслідків аварії на Чорнобильській АЕС; 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 свідоцтво про народження особи; у разі зміни прізвища, імені та по батькові документи, що підтверджують їх зміну; рішення суду, що набрало законної сили, про встановлення факту родинних відносин (у разі потреби).</w:t>
            </w:r>
          </w:p>
          <w:p w14:paraId="4790A87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За</w:t>
            </w:r>
            <w:r w:rsidRPr="000C0B53">
              <w:rPr>
                <w:rFonts w:ascii="Times New Roman" w:eastAsia="Times New Roman" w:hAnsi="Times New Roman" w:cs="Times New Roman"/>
                <w:color w:val="000000"/>
                <w:lang w:val="uk-UA" w:eastAsia="uk-UA"/>
              </w:rPr>
              <w:tab/>
              <w:t>відсутності</w:t>
            </w:r>
            <w:r w:rsidRPr="000C0B53">
              <w:rPr>
                <w:rFonts w:ascii="Times New Roman" w:eastAsia="Times New Roman" w:hAnsi="Times New Roman" w:cs="Times New Roman"/>
                <w:color w:val="000000"/>
                <w:lang w:val="uk-UA" w:eastAsia="uk-UA"/>
              </w:rPr>
              <w:tab/>
              <w:t>(технічної</w:t>
            </w:r>
            <w:r w:rsidRPr="000C0B53">
              <w:rPr>
                <w:rFonts w:ascii="Times New Roman" w:eastAsia="Times New Roman" w:hAnsi="Times New Roman" w:cs="Times New Roman"/>
                <w:color w:val="000000"/>
                <w:lang w:val="uk-UA" w:eastAsia="uk-UA"/>
              </w:rPr>
              <w:tab/>
              <w:t xml:space="preserve">можливості) виготовлення посвідчення особам, які постраждали внаслідок Чорнобильської катастрофи, та іншим категоріям громадян для оформлення пільг, установлених для них </w:t>
            </w:r>
            <w:r w:rsidRPr="000C0B53">
              <w:rPr>
                <w:rFonts w:ascii="Times New Roman" w:eastAsia="Times New Roman" w:hAnsi="Times New Roman" w:cs="Times New Roman"/>
                <w:color w:val="000000"/>
                <w:lang w:val="uk-UA" w:eastAsia="uk-UA"/>
              </w:rPr>
              <w:lastRenderedPageBreak/>
              <w:t>законодавством, – видана уповноваженим органом довідка, що підтверджує їх статус, на строк до отримання відповідного посвідчення, але не більш як на два роки.</w:t>
            </w:r>
          </w:p>
          <w:p w14:paraId="56FD498A" w14:textId="66326005" w:rsidR="002910C3" w:rsidRPr="000373FC" w:rsidRDefault="000C0B53" w:rsidP="000C0B53">
            <w:pPr>
              <w:spacing w:line="240" w:lineRule="auto"/>
              <w:jc w:val="both"/>
              <w:rPr>
                <w:rFonts w:ascii="Times New Roman" w:eastAsia="Times New Roman" w:hAnsi="Times New Roman" w:cs="Times New Roman"/>
                <w:color w:val="000000"/>
                <w:lang w:eastAsia="uk-UA"/>
              </w:rPr>
            </w:pPr>
            <w:r w:rsidRPr="000C0B53">
              <w:rPr>
                <w:rFonts w:ascii="Times New Roman" w:eastAsia="Times New Roman" w:hAnsi="Times New Roman" w:cs="Times New Roman"/>
                <w:color w:val="000000"/>
                <w:lang w:val="uk-UA" w:eastAsia="uk-UA"/>
              </w:rPr>
              <w:t>Якщо для отримання одноразової компенсації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w:t>
            </w:r>
            <w:r>
              <w:rPr>
                <w:rFonts w:ascii="Times New Roman" w:eastAsia="Times New Roman" w:hAnsi="Times New Roman" w:cs="Times New Roman"/>
                <w:color w:val="000000"/>
                <w:lang w:val="uk-UA" w:eastAsia="uk-UA"/>
              </w:rPr>
              <w:t xml:space="preserve"> </w:t>
            </w:r>
            <w:r w:rsidRPr="000C0B53">
              <w:rPr>
                <w:rFonts w:ascii="Times New Roman" w:eastAsia="Times New Roman" w:hAnsi="Times New Roman" w:cs="Times New Roman"/>
                <w:color w:val="000000"/>
                <w:lang w:val="uk-UA" w:eastAsia="uk-UA"/>
              </w:rPr>
              <w:t>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одноразової компенсації.</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291C5FBB" w:rsidR="00F37AF2"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0CDE80C" w14:textId="77777777" w:rsidR="00DC39C3" w:rsidRPr="00DC39C3" w:rsidRDefault="00DC39C3" w:rsidP="00DC39C3">
            <w:pPr>
              <w:shd w:val="clear" w:color="auto" w:fill="FFFFFF"/>
              <w:spacing w:line="240" w:lineRule="auto"/>
              <w:jc w:val="both"/>
              <w:rPr>
                <w:rFonts w:ascii="Times New Roman" w:eastAsia="Calibri" w:hAnsi="Times New Roman" w:cs="Times New Roman"/>
                <w:lang w:val="uk-UA"/>
              </w:rPr>
            </w:pPr>
            <w:r w:rsidRPr="00DC39C3">
              <w:rPr>
                <w:rFonts w:ascii="Times New Roman" w:eastAsia="Calibri" w:hAnsi="Times New Roman" w:cs="Times New Roman"/>
                <w:lang w:val="uk-UA"/>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w:t>
            </w:r>
            <w:r w:rsidRPr="00DC39C3">
              <w:rPr>
                <w:rFonts w:ascii="Times New Roman" w:eastAsia="Calibri" w:hAnsi="Times New Roman" w:cs="Times New Roman"/>
                <w:lang w:val="uk-UA"/>
              </w:rPr>
              <w:tab/>
              <w:t>разі утворення)</w:t>
            </w:r>
            <w:r w:rsidRPr="00DC39C3">
              <w:rPr>
                <w:rFonts w:ascii="Times New Roman" w:eastAsia="Calibri" w:hAnsi="Times New Roman" w:cs="Times New Roman"/>
                <w:lang w:val="uk-UA"/>
              </w:rPr>
              <w:tab/>
              <w:t>ради,</w:t>
            </w:r>
            <w:r w:rsidRPr="00DC39C3">
              <w:rPr>
                <w:rFonts w:ascii="Times New Roman" w:eastAsia="Calibri" w:hAnsi="Times New Roman" w:cs="Times New Roman"/>
                <w:lang w:val="uk-UA"/>
              </w:rPr>
              <w:tab/>
              <w:t>центрів надання адміністративних послуг;</w:t>
            </w:r>
          </w:p>
          <w:p w14:paraId="12F987BD" w14:textId="564BEE46" w:rsidR="002910C3" w:rsidRPr="00240557" w:rsidRDefault="00DC39C3" w:rsidP="00DC39C3">
            <w:pPr>
              <w:shd w:val="clear" w:color="auto" w:fill="FFFFFF"/>
              <w:spacing w:line="240" w:lineRule="auto"/>
              <w:jc w:val="both"/>
              <w:rPr>
                <w:rFonts w:ascii="Times New Roman" w:eastAsia="Calibri" w:hAnsi="Times New Roman" w:cs="Times New Roman"/>
              </w:rPr>
            </w:pPr>
            <w:r w:rsidRPr="00DC39C3">
              <w:rPr>
                <w:rFonts w:ascii="Times New Roman" w:eastAsia="Calibri" w:hAnsi="Times New Roman" w:cs="Times New Roman"/>
                <w:lang w:val="uk-UA"/>
              </w:rPr>
              <w:t>засобами поштового зв’язку до головних управлінь Пенсійного фонду України в областях та м. Києві; 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56EF521E"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2A926B0A" w:rsidR="00F37AF2" w:rsidRPr="00F25F5D" w:rsidRDefault="00DC39C3" w:rsidP="008D239B">
            <w:pPr>
              <w:tabs>
                <w:tab w:val="left" w:pos="3828"/>
              </w:tabs>
              <w:spacing w:line="240" w:lineRule="auto"/>
              <w:jc w:val="both"/>
              <w:rPr>
                <w:rFonts w:ascii="Times New Roman" w:hAnsi="Times New Roman" w:cs="Times New Roman"/>
                <w:sz w:val="24"/>
                <w:szCs w:val="24"/>
              </w:rPr>
            </w:pPr>
            <w:r w:rsidRPr="00DC39C3">
              <w:rPr>
                <w:rFonts w:ascii="Times New Roman" w:hAnsi="Times New Roman" w:cs="Times New Roman"/>
                <w:sz w:val="24"/>
                <w:szCs w:val="24"/>
                <w:lang w:val="uk-UA"/>
              </w:rPr>
              <w:t>Надається 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2330FBBF"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7ABF2794" w:rsidR="008D000F" w:rsidRPr="00240557" w:rsidRDefault="000C0B53" w:rsidP="00096B41">
            <w:pPr>
              <w:shd w:val="clear" w:color="auto" w:fill="FFFFFF"/>
              <w:spacing w:line="240" w:lineRule="auto"/>
              <w:jc w:val="both"/>
              <w:rPr>
                <w:rFonts w:ascii="Times New Roman" w:eastAsia="Times New Roman" w:hAnsi="Times New Roman" w:cs="Times New Roman"/>
                <w:color w:val="000000"/>
                <w:sz w:val="24"/>
                <w:szCs w:val="24"/>
              </w:rPr>
            </w:pPr>
            <w:r w:rsidRPr="000C0B53">
              <w:rPr>
                <w:rFonts w:ascii="Times New Roman" w:eastAsia="Times New Roman" w:hAnsi="Times New Roman" w:cs="Times New Roman"/>
                <w:sz w:val="24"/>
                <w:szCs w:val="24"/>
                <w:lang w:val="uk-UA" w:eastAsia="uk-UA"/>
              </w:rPr>
              <w:t xml:space="preserve"> </w:t>
            </w:r>
            <w:r w:rsidRPr="000C0B53">
              <w:rPr>
                <w:rFonts w:ascii="Times New Roman" w:eastAsia="Times New Roman" w:hAnsi="Times New Roman" w:cs="Times New Roman"/>
                <w:color w:val="000000"/>
                <w:sz w:val="24"/>
                <w:szCs w:val="24"/>
                <w:lang w:val="uk-UA"/>
              </w:rPr>
              <w:t>Заява розглядається не пізніше ніж протягом 30 днів після її надходження з усіма необхідними документами та/або відомостями.</w:t>
            </w:r>
          </w:p>
        </w:tc>
      </w:tr>
      <w:tr w:rsidR="00C10DE3" w14:paraId="1FFC814D" w14:textId="77777777" w:rsidTr="000B28C7">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3D5C476"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Одноразова компенсація не призначається, якщо:</w:t>
            </w:r>
          </w:p>
          <w:p w14:paraId="4ADED1FC"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особа не має права на призначення одноразової компенсації;</w:t>
            </w:r>
          </w:p>
          <w:p w14:paraId="612A98B2"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заяву подано після спливу шести місяців з дати встановлення інвалідності або смерті годувальника;</w:t>
            </w:r>
          </w:p>
          <w:p w14:paraId="404130DE" w14:textId="3A30D0F0" w:rsidR="002910C3" w:rsidRPr="00096B41" w:rsidRDefault="000C0B53" w:rsidP="000C0B53">
            <w:pPr>
              <w:shd w:val="clear" w:color="auto" w:fill="FFFFFF"/>
              <w:spacing w:line="240" w:lineRule="auto"/>
              <w:jc w:val="both"/>
              <w:rPr>
                <w:rFonts w:ascii="Times New Roman" w:eastAsia="Times New Roman" w:hAnsi="Times New Roman" w:cs="Times New Roman"/>
                <w:color w:val="000000"/>
                <w:sz w:val="24"/>
                <w:szCs w:val="24"/>
              </w:rPr>
            </w:pPr>
            <w:r w:rsidRPr="000C0B53">
              <w:rPr>
                <w:rFonts w:ascii="Times New Roman" w:eastAsia="Times New Roman" w:hAnsi="Times New Roman" w:cs="Times New Roman"/>
                <w:color w:val="000000"/>
                <w:sz w:val="24"/>
                <w:szCs w:val="24"/>
                <w:lang w:val="uk-UA"/>
              </w:rPr>
              <w:t>особі, яка підлягає загальнообов’язковому державному соціальному страхуванню відповідно до Закону України “Про соціальний і правовий захист військовослужбовців та членів їх сімей” та інших законодавчих актів і визнана учасником ліквідації наслідків аварії на Чорнобильській АЕС відповідно до Закону України “Про статус і соціальний захист громадян, які постраждали внаслідок Чорнобильської катастрофи”, виплачено одноразову компенсацію за шкоду, заподіяну здоров’ю, або сім’ям у зв’язку з втратою годувальника відповідно до одного із таких законодавчих актів; 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0916765"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приймає рішення про призначення компенсації / відмову в призначенні компенсації.</w:t>
            </w:r>
          </w:p>
          <w:p w14:paraId="1E980453" w14:textId="0538454B"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компенсації вважається день (місяць) прийняття або відправлення заяви.</w:t>
            </w:r>
          </w:p>
        </w:tc>
      </w:tr>
      <w:tr w:rsidR="00C10DE3" w:rsidRPr="00347B05" w14:paraId="1AAC4CFB" w14:textId="77777777" w:rsidTr="00240557">
        <w:trPr>
          <w:trHeight w:val="138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159C7CB1"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p w14:paraId="39A2192B" w14:textId="2F685FB4"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7"/>
  </w:num>
  <w:num w:numId="7">
    <w:abstractNumId w:val="9"/>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373FC"/>
    <w:rsid w:val="0007580F"/>
    <w:rsid w:val="00076618"/>
    <w:rsid w:val="00083BEE"/>
    <w:rsid w:val="0008738D"/>
    <w:rsid w:val="00095BFF"/>
    <w:rsid w:val="00096B41"/>
    <w:rsid w:val="000A1879"/>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4A17"/>
    <w:rsid w:val="0029705E"/>
    <w:rsid w:val="002F2CCF"/>
    <w:rsid w:val="00324CC6"/>
    <w:rsid w:val="00347B05"/>
    <w:rsid w:val="0039622F"/>
    <w:rsid w:val="00412ACB"/>
    <w:rsid w:val="00413930"/>
    <w:rsid w:val="0041480E"/>
    <w:rsid w:val="004240DF"/>
    <w:rsid w:val="00427992"/>
    <w:rsid w:val="00431253"/>
    <w:rsid w:val="00441C95"/>
    <w:rsid w:val="004565C5"/>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547CC"/>
    <w:rsid w:val="007862C4"/>
    <w:rsid w:val="00795714"/>
    <w:rsid w:val="007A2214"/>
    <w:rsid w:val="007A575F"/>
    <w:rsid w:val="007F164A"/>
    <w:rsid w:val="007F3408"/>
    <w:rsid w:val="00827209"/>
    <w:rsid w:val="008967B8"/>
    <w:rsid w:val="00896839"/>
    <w:rsid w:val="008A62E8"/>
    <w:rsid w:val="008B5A71"/>
    <w:rsid w:val="008D000F"/>
    <w:rsid w:val="008D1AD4"/>
    <w:rsid w:val="008D239B"/>
    <w:rsid w:val="008D6A38"/>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24F33"/>
    <w:rsid w:val="00C26188"/>
    <w:rsid w:val="00C5219B"/>
    <w:rsid w:val="00C63B53"/>
    <w:rsid w:val="00C72357"/>
    <w:rsid w:val="00C972C0"/>
    <w:rsid w:val="00CE284F"/>
    <w:rsid w:val="00D11C68"/>
    <w:rsid w:val="00D27428"/>
    <w:rsid w:val="00DA3E0C"/>
    <w:rsid w:val="00DB3A5B"/>
    <w:rsid w:val="00DC39C3"/>
    <w:rsid w:val="00DE5230"/>
    <w:rsid w:val="00E018D6"/>
    <w:rsid w:val="00E07C33"/>
    <w:rsid w:val="00E26C02"/>
    <w:rsid w:val="00E271D0"/>
    <w:rsid w:val="00E305BE"/>
    <w:rsid w:val="00E86756"/>
    <w:rsid w:val="00E963CE"/>
    <w:rsid w:val="00EF4E4C"/>
    <w:rsid w:val="00F164C2"/>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622879500">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8525C-7875-4214-84DA-C21E1EF7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Pages>
  <Words>2506</Words>
  <Characters>14288</Characters>
  <Application>Microsoft Office Word</Application>
  <DocSecurity>0</DocSecurity>
  <Lines>119</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168</cp:revision>
  <cp:lastPrinted>2023-11-27T12:28:00Z</cp:lastPrinted>
  <dcterms:created xsi:type="dcterms:W3CDTF">2023-09-27T12:41:00Z</dcterms:created>
  <dcterms:modified xsi:type="dcterms:W3CDTF">2025-12-19T07:35:00Z</dcterms:modified>
</cp:coreProperties>
</file>