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CFC52" w14:textId="1156B461" w:rsidR="00BC0D51" w:rsidRPr="00BC0D51" w:rsidRDefault="00BC0D51" w:rsidP="00BC0D5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341</w:t>
      </w:r>
    </w:p>
    <w:p w14:paraId="4228AF07" w14:textId="77777777" w:rsidR="00BC0D51" w:rsidRDefault="00BC0D51" w:rsidP="00BC0D5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CF8632" w14:textId="77777777" w:rsidR="00BC0D51" w:rsidRDefault="00BC0D51" w:rsidP="00BC0D5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E09E7A2" w14:textId="6752B057" w:rsidR="00AE3707" w:rsidRPr="00BC0D51" w:rsidRDefault="00AE3707" w:rsidP="00BC0D51">
      <w:pPr>
        <w:pStyle w:val="Standard"/>
        <w:spacing w:before="57" w:after="57"/>
        <w:jc w:val="right"/>
        <w:rPr>
          <w:sz w:val="26"/>
          <w:szCs w:val="26"/>
          <w:lang w:val="ru-RU"/>
        </w:rPr>
      </w:pPr>
    </w:p>
    <w:p w14:paraId="6E09E7A3" w14:textId="77777777" w:rsidR="00AE3707" w:rsidRPr="00BC0D51" w:rsidRDefault="00AE3707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14:paraId="6E09E7A4" w14:textId="77777777" w:rsidR="00AE3707" w:rsidRDefault="00E26AA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ТЕХНОЛОГІЧНА КАРТКА</w:t>
      </w:r>
    </w:p>
    <w:p w14:paraId="6E09E7A5" w14:textId="77777777" w:rsidR="00AE3707" w:rsidRDefault="00E26AAF">
      <w:pPr>
        <w:pStyle w:val="Standard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адміністративної  послуги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 з призначення пільги на оплату житла,</w:t>
      </w:r>
    </w:p>
    <w:p w14:paraId="6E09E7A6" w14:textId="77777777" w:rsidR="00AE3707" w:rsidRDefault="00E26AAF">
      <w:pPr>
        <w:pStyle w:val="Standard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комунальних послуг</w:t>
      </w:r>
    </w:p>
    <w:p w14:paraId="6E09E7A7" w14:textId="77777777" w:rsidR="00AE3707" w:rsidRDefault="00AE3707">
      <w:pPr>
        <w:pStyle w:val="Standard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6E09E7AA" w14:textId="77777777" w:rsidR="00AE3707" w:rsidRDefault="00E26AAF">
      <w:pPr>
        <w:pStyle w:val="Standard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tbl>
      <w:tblPr>
        <w:tblW w:w="10358" w:type="dxa"/>
        <w:tblInd w:w="-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3057"/>
        <w:gridCol w:w="3502"/>
        <w:gridCol w:w="2533"/>
      </w:tblGrid>
      <w:tr w:rsidR="00AE3707" w:rsidRPr="00BC0D51" w14:paraId="6E09E7AF" w14:textId="77777777">
        <w:trPr>
          <w:trHeight w:val="970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9E7AB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9E7AC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Етапи опрацювання звернення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9E7AD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Відповідальна посадова особа та відповідальний структурний підрозділ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9E7AE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Строки виконання етапів (дії, рішення)</w:t>
            </w:r>
          </w:p>
        </w:tc>
      </w:tr>
      <w:tr w:rsidR="00AE3707" w14:paraId="6E09E7B4" w14:textId="77777777"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0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1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2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3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E3707" w14:paraId="6E09E7B9" w14:textId="77777777"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5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6" w14:textId="77777777" w:rsidR="00AE3707" w:rsidRPr="00BC0D51" w:rsidRDefault="00E26AAF">
            <w:pPr>
              <w:pStyle w:val="TableContents"/>
              <w:jc w:val="both"/>
              <w:rPr>
                <w:rFonts w:hint="eastAsia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Прийом документів та їх передача за належністю до структурного підрозділу, до повноважень якого належить вирішення питання</w:t>
            </w:r>
          </w:p>
        </w:tc>
        <w:tc>
          <w:tcPr>
            <w:tcW w:w="3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7" w14:textId="77777777" w:rsidR="00AE3707" w:rsidRPr="00BC0D51" w:rsidRDefault="00E26AAF">
            <w:pPr>
              <w:pStyle w:val="TableContents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Керівник підрозділу обслуговування громадян Управління обслуговування громадян Головного управління Пенсійного фонду України в Миколаївській області/уповноважена посадова особа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виконавчого органу сільської, селищної, міської</w:t>
            </w:r>
            <w:r>
              <w:rPr>
                <w:rFonts w:ascii="Times New Roman" w:eastAsia="NSimSun" w:hAnsi="Times New Roman" w:cs="Times New Roman"/>
                <w:color w:val="000000"/>
                <w:spacing w:val="1"/>
                <w:kern w:val="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ради</w:t>
            </w:r>
            <w:r>
              <w:rPr>
                <w:rFonts w:ascii="Times New Roman" w:eastAsia="NSimSun" w:hAnsi="Times New Roman" w:cs="Times New Roman"/>
                <w:color w:val="000000"/>
                <w:spacing w:val="1"/>
                <w:kern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відповідної</w:t>
            </w:r>
            <w:r>
              <w:rPr>
                <w:rFonts w:ascii="Times New Roman" w:eastAsia="NSimSun" w:hAnsi="Times New Roman" w:cs="Times New Roman"/>
                <w:color w:val="000000"/>
                <w:spacing w:val="1"/>
                <w:kern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територіальної</w:t>
            </w:r>
            <w:r>
              <w:rPr>
                <w:rFonts w:ascii="Times New Roman" w:eastAsia="NSimSun" w:hAnsi="Times New Roman" w:cs="Times New Roman"/>
                <w:color w:val="000000"/>
                <w:spacing w:val="1"/>
                <w:kern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громади</w:t>
            </w:r>
            <w:r>
              <w:rPr>
                <w:rFonts w:ascii="Times New Roman" w:eastAsia="NSimSun" w:hAnsi="Times New Roman" w:cs="Times New Roman"/>
                <w:color w:val="000000"/>
                <w:spacing w:val="1"/>
                <w:kern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або</w:t>
            </w:r>
            <w:r>
              <w:rPr>
                <w:rFonts w:ascii="Times New Roman" w:eastAsia="NSimSun" w:hAnsi="Times New Roman" w:cs="Times New Roman"/>
                <w:color w:val="000000"/>
                <w:spacing w:val="1"/>
                <w:kern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військової</w:t>
            </w:r>
            <w:r>
              <w:rPr>
                <w:rFonts w:ascii="Times New Roman" w:eastAsia="NSimSun" w:hAnsi="Times New Roman" w:cs="Times New Roman"/>
                <w:color w:val="000000"/>
                <w:spacing w:val="65"/>
                <w:kern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ru-RU"/>
              </w:rPr>
              <w:t>адміністрації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посадова особа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центру надання адміністративних послуг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8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 день</w:t>
            </w:r>
          </w:p>
        </w:tc>
      </w:tr>
      <w:tr w:rsidR="00AE3707" w14:paraId="6E09E7BE" w14:textId="77777777"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A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B" w14:textId="77777777" w:rsidR="00AE3707" w:rsidRDefault="00E26AAF">
            <w:pPr>
              <w:pStyle w:val="TableContents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Атрибутування звернення та поданих документів</w:t>
            </w:r>
          </w:p>
        </w:tc>
        <w:tc>
          <w:tcPr>
            <w:tcW w:w="3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C" w14:textId="77777777" w:rsidR="00AE3707" w:rsidRDefault="00E26AAF">
            <w:pPr>
              <w:pStyle w:val="TableContents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Керівники відділ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оцифрування документів та обробки даних № 1  та № 2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D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дні</w:t>
            </w:r>
          </w:p>
        </w:tc>
      </w:tr>
      <w:tr w:rsidR="00AE3707" w:rsidRPr="00BC0D51" w14:paraId="6E09E7C3" w14:textId="77777777"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BF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0" w14:textId="77777777" w:rsidR="00AE3707" w:rsidRDefault="00E26AAF">
            <w:pPr>
              <w:pStyle w:val="TableContents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Прийняття рішення про призначення / відмови у призначенні  послуги</w:t>
            </w:r>
          </w:p>
        </w:tc>
        <w:tc>
          <w:tcPr>
            <w:tcW w:w="3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1" w14:textId="77777777" w:rsidR="00AE3707" w:rsidRPr="00BC0D51" w:rsidRDefault="00E26AAF">
            <w:pPr>
              <w:pStyle w:val="TableContents"/>
              <w:jc w:val="both"/>
              <w:rPr>
                <w:rFonts w:hint="eastAsia"/>
                <w:sz w:val="26"/>
                <w:szCs w:val="26"/>
                <w:lang w:val="ru-RU"/>
              </w:rPr>
            </w:pPr>
            <w:r w:rsidRPr="00BC0D51">
              <w:rPr>
                <w:rFonts w:ascii="Times New Roman" w:hAnsi="Times New Roman" w:cs="Times New Roman"/>
                <w:color w:val="333333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Керівник відділу надання пільг, керівник в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ідділу контролю за правильністю нарахування житлових субсидій та пільг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управління пенсійного забезпечення, надання страхових виплат, соціальних послуг,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житлових субсидій та пільг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2" w14:textId="77777777" w:rsidR="00AE3707" w:rsidRDefault="00E26AAF">
            <w:pPr>
              <w:pStyle w:val="TableContents"/>
              <w:spacing w:before="48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val="uk-UA" w:eastAsia="ar-SA"/>
              </w:rPr>
              <w:lastRenderedPageBreak/>
              <w:t>Протягом 10   календарних днів з дня подання документів та отримання інформації, необхідної для розраху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6"/>
                <w:szCs w:val="26"/>
                <w:shd w:val="clear" w:color="auto" w:fill="FFFFFF"/>
                <w:lang w:val="uk-UA" w:eastAsia="ar-SA"/>
              </w:rPr>
              <w:t>нку</w:t>
            </w:r>
          </w:p>
        </w:tc>
      </w:tr>
      <w:tr w:rsidR="00AE3707" w:rsidRPr="00BC0D51" w14:paraId="6E09E7C8" w14:textId="77777777"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4" w14:textId="77777777" w:rsidR="00AE3707" w:rsidRDefault="00E26AAF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5" w14:textId="77777777" w:rsidR="00AE3707" w:rsidRDefault="00E26AAF">
            <w:pPr>
              <w:pStyle w:val="TableContents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Повідомлення щодо прийнятого рішення</w:t>
            </w:r>
          </w:p>
        </w:tc>
        <w:tc>
          <w:tcPr>
            <w:tcW w:w="3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6" w14:textId="77777777" w:rsidR="00AE3707" w:rsidRDefault="00E26AAF">
            <w:pPr>
              <w:pStyle w:val="TableContents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 в Миколаївській області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7" w14:textId="77777777" w:rsidR="00AE3707" w:rsidRDefault="00E26AAF">
            <w:pPr>
              <w:pStyle w:val="Standard"/>
              <w:widowControl w:val="0"/>
              <w:suppressLineNumbers/>
              <w:spacing w:before="15" w:after="150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6"/>
                <w:szCs w:val="26"/>
                <w:lang w:val="uk-UA" w:eastAsia="ar-SA"/>
              </w:rPr>
              <w:t>Уповноважений орган інформує особу про призначення (непризначення) пільги, у тому числі через особистий кабінет на веб-порталі електронних послуг Пенсійного фонду України.</w:t>
            </w:r>
          </w:p>
        </w:tc>
      </w:tr>
      <w:tr w:rsidR="00AE3707" w14:paraId="6E09E7CA" w14:textId="77777777">
        <w:tc>
          <w:tcPr>
            <w:tcW w:w="103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9E7C9" w14:textId="77777777" w:rsidR="00AE3707" w:rsidRDefault="00E26A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uk-UA" w:eastAsia="ar-SA"/>
              </w:rPr>
              <w:t>Відповідно до статтей 79, 80, 82 Закону України “Про адміністративну процедуру” від 17.02.2022 № 2073-IX (із змінами) (далі — Закон) скарга на адміністративний акт може бути надана протягом 30 календарних днів з дня доведення його до відома заявника, з урахуванням вимог доведення адміністративного акту, визначених статтею 80  Закону, до адміністративного органу вищого рівня.</w:t>
            </w:r>
          </w:p>
        </w:tc>
      </w:tr>
    </w:tbl>
    <w:p w14:paraId="6E09E7CB" w14:textId="77777777" w:rsidR="00AE3707" w:rsidRDefault="00E26AAF">
      <w:pPr>
        <w:pStyle w:val="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9E7A0" wp14:editId="6E09E7A1">
                <wp:simplePos x="0" y="0"/>
                <wp:positionH relativeFrom="column">
                  <wp:posOffset>573480</wp:posOffset>
                </wp:positionH>
                <wp:positionV relativeFrom="paragraph">
                  <wp:posOffset>298440</wp:posOffset>
                </wp:positionV>
                <wp:extent cx="4683600" cy="12600"/>
                <wp:effectExtent l="0" t="0" r="21750" b="25500"/>
                <wp:wrapNone/>
                <wp:docPr id="22923927" name="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3600" cy="1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C4CBD" id="Лінія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23.5pt" to="41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" strokeweight="1pt"/>
            </w:pict>
          </mc:Fallback>
        </mc:AlternateContent>
      </w:r>
    </w:p>
    <w:sectPr w:rsidR="00AE3707">
      <w:headerReference w:type="default" r:id="rId6"/>
      <w:headerReference w:type="first" r:id="rId7"/>
      <w:pgSz w:w="11906" w:h="16838"/>
      <w:pgMar w:top="1191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C5312" w14:textId="77777777" w:rsidR="00D35D8E" w:rsidRDefault="00D35D8E">
      <w:pPr>
        <w:rPr>
          <w:rFonts w:hint="eastAsia"/>
        </w:rPr>
      </w:pPr>
      <w:r>
        <w:separator/>
      </w:r>
    </w:p>
  </w:endnote>
  <w:endnote w:type="continuationSeparator" w:id="0">
    <w:p w14:paraId="6B58861E" w14:textId="77777777" w:rsidR="00D35D8E" w:rsidRDefault="00D35D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7C79E" w14:textId="77777777" w:rsidR="00D35D8E" w:rsidRDefault="00D35D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8AB2E7" w14:textId="77777777" w:rsidR="00D35D8E" w:rsidRDefault="00D35D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9E7AA" w14:textId="77777777" w:rsidR="00E26AAF" w:rsidRDefault="00E26AAF">
    <w:pPr>
      <w:pStyle w:val="a5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09E7AB" w14:textId="77777777" w:rsidR="00E26AAF" w:rsidRDefault="00E26AAF">
    <w:pPr>
      <w:pStyle w:val="a5"/>
      <w:jc w:val="right"/>
      <w:rPr>
        <w:rFonts w:hint="eastAsia"/>
        <w:lang w:val="uk-UA"/>
      </w:rPr>
    </w:pPr>
    <w:r>
      <w:rPr>
        <w:lang w:val="uk-UA"/>
      </w:rPr>
      <w:t>Продовження таблиці</w:t>
    </w:r>
  </w:p>
  <w:tbl>
    <w:tblPr>
      <w:tblW w:w="10358" w:type="dxa"/>
      <w:tblInd w:w="-7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66"/>
      <w:gridCol w:w="3057"/>
      <w:gridCol w:w="3447"/>
      <w:gridCol w:w="2588"/>
    </w:tblGrid>
    <w:tr w:rsidR="006C7CF3" w14:paraId="6E09E7B0" w14:textId="77777777">
      <w:tc>
        <w:tcPr>
          <w:tcW w:w="126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E09E7AC" w14:textId="77777777" w:rsidR="00E26AAF" w:rsidRDefault="00E26AAF">
          <w:pPr>
            <w:pStyle w:val="TableContents"/>
            <w:jc w:val="center"/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  <w:t>1</w:t>
          </w:r>
        </w:p>
      </w:tc>
      <w:tc>
        <w:tcPr>
          <w:tcW w:w="305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E09E7AD" w14:textId="77777777" w:rsidR="00E26AAF" w:rsidRDefault="00E26AAF">
          <w:pPr>
            <w:pStyle w:val="TableContents"/>
            <w:jc w:val="center"/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  <w:t>2</w:t>
          </w:r>
        </w:p>
      </w:tc>
      <w:tc>
        <w:tcPr>
          <w:tcW w:w="344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E09E7AE" w14:textId="77777777" w:rsidR="00E26AAF" w:rsidRDefault="00E26AAF">
          <w:pPr>
            <w:pStyle w:val="TableContents"/>
            <w:jc w:val="center"/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  <w:t>3</w:t>
          </w:r>
        </w:p>
      </w:tc>
      <w:tc>
        <w:tcPr>
          <w:tcW w:w="25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E09E7AF" w14:textId="77777777" w:rsidR="00E26AAF" w:rsidRDefault="00E26AAF">
          <w:pPr>
            <w:pStyle w:val="TableContents"/>
            <w:jc w:val="center"/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  <w:lang w:val="uk-UA"/>
            </w:rPr>
            <w:t>4</w:t>
          </w:r>
        </w:p>
      </w:tc>
    </w:tr>
  </w:tbl>
  <w:p w14:paraId="6E09E7B1" w14:textId="77777777" w:rsidR="00E26AAF" w:rsidRDefault="00E26AAF">
    <w:pPr>
      <w:pStyle w:val="Standard"/>
      <w:jc w:val="center"/>
      <w:rPr>
        <w:rFonts w:hint="eastAsia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9E7B3" w14:textId="77777777" w:rsidR="00E26AAF" w:rsidRDefault="00E26AAF">
    <w:pPr>
      <w:pStyle w:val="a5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07"/>
    <w:rsid w:val="00AE3707"/>
    <w:rsid w:val="00BC0D51"/>
    <w:rsid w:val="00C802EE"/>
    <w:rsid w:val="00D35D8E"/>
    <w:rsid w:val="00E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79F"/>
  <w15:docId w15:val="{581DA62D-7E91-44EE-8D09-D4A83EBB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  <w:style w:type="paragraph" w:customStyle="1" w:styleId="TableParagraph">
    <w:name w:val="Table Paragraph"/>
    <w:basedOn w:val="Standard"/>
    <w:pPr>
      <w:spacing w:before="48"/>
      <w:ind w:left="60" w:right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Нехайчик</dc:creator>
  <cp:lastModifiedBy>Inna</cp:lastModifiedBy>
  <cp:revision>4</cp:revision>
  <cp:lastPrinted>2025-07-07T18:12:00Z</cp:lastPrinted>
  <dcterms:created xsi:type="dcterms:W3CDTF">2025-09-08T08:58:00Z</dcterms:created>
  <dcterms:modified xsi:type="dcterms:W3CDTF">2025-12-19T11:18:00Z</dcterms:modified>
</cp:coreProperties>
</file>