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81DA" w14:textId="77777777" w:rsidR="00AE31CC" w:rsidRDefault="00AE31CC" w:rsidP="00AE31CC">
      <w:pPr>
        <w:tabs>
          <w:tab w:val="left" w:pos="5103"/>
          <w:tab w:val="left" w:pos="7088"/>
        </w:tabs>
        <w:ind w:left="10620"/>
        <w:jc w:val="both"/>
      </w:pPr>
      <w:r>
        <w:rPr>
          <w:rFonts w:ascii="Times New Roman" w:hAnsi="Times New Roman" w:cs="Times New Roman"/>
          <w:bCs/>
          <w:color w:val="000000"/>
          <w:lang w:val="uk-UA" w:eastAsia="uk-UA"/>
        </w:rPr>
        <w:t xml:space="preserve">Додаток </w:t>
      </w:r>
    </w:p>
    <w:p w14:paraId="2FC13621" w14:textId="77777777" w:rsidR="00AE31CC" w:rsidRDefault="00AE31CC" w:rsidP="00AE31CC">
      <w:pPr>
        <w:tabs>
          <w:tab w:val="left" w:pos="5103"/>
          <w:tab w:val="left" w:pos="7088"/>
        </w:tabs>
        <w:ind w:left="10620"/>
        <w:jc w:val="both"/>
      </w:pPr>
      <w:r>
        <w:rPr>
          <w:rFonts w:ascii="Times New Roman" w:hAnsi="Times New Roman" w:cs="Times New Roman"/>
          <w:bCs/>
          <w:color w:val="000000"/>
          <w:lang w:val="uk-UA" w:eastAsia="uk-UA"/>
        </w:rPr>
        <w:t>до рішення виконавчого комітету</w:t>
      </w:r>
    </w:p>
    <w:p w14:paraId="224650BA" w14:textId="77777777" w:rsidR="00AE31CC" w:rsidRDefault="00AE31CC" w:rsidP="00AE31CC">
      <w:pPr>
        <w:tabs>
          <w:tab w:val="left" w:pos="5103"/>
          <w:tab w:val="left" w:pos="7088"/>
        </w:tabs>
        <w:ind w:left="10620"/>
        <w:jc w:val="both"/>
      </w:pPr>
      <w:r>
        <w:rPr>
          <w:rFonts w:ascii="Times New Roman" w:hAnsi="Times New Roman" w:cs="Times New Roman"/>
          <w:bCs/>
          <w:color w:val="000000"/>
          <w:lang w:val="uk-UA" w:eastAsia="uk-UA"/>
        </w:rPr>
        <w:t>від _________№____</w:t>
      </w:r>
    </w:p>
    <w:p w14:paraId="7E93C702" w14:textId="77777777" w:rsidR="00AE31CC" w:rsidRDefault="00AE31CC" w:rsidP="00AE31CC">
      <w:pPr>
        <w:tabs>
          <w:tab w:val="left" w:pos="5103"/>
          <w:tab w:val="left" w:pos="7088"/>
        </w:tabs>
        <w:ind w:left="10620"/>
        <w:jc w:val="both"/>
        <w:rPr>
          <w:rFonts w:ascii="Times New Roman" w:hAnsi="Times New Roman" w:cs="Times New Roman"/>
          <w:b/>
          <w:bCs/>
          <w:color w:val="000000"/>
          <w:lang w:val="uk-UA" w:eastAsia="uk-UA"/>
        </w:rPr>
      </w:pPr>
      <w:bookmarkStart w:id="0" w:name="n9"/>
      <w:bookmarkEnd w:id="0"/>
    </w:p>
    <w:p w14:paraId="064696F5" w14:textId="77777777" w:rsidR="00AE31CC" w:rsidRDefault="00AE31CC" w:rsidP="00AE31CC">
      <w:pPr>
        <w:jc w:val="center"/>
      </w:pPr>
      <w:r>
        <w:rPr>
          <w:rFonts w:ascii="Times New Roman" w:hAnsi="Times New Roman" w:cs="Times New Roman"/>
          <w:b/>
          <w:bCs/>
          <w:color w:val="000000"/>
          <w:lang w:val="uk-UA" w:eastAsia="uk-UA"/>
        </w:rPr>
        <w:t>ПЛАН ЗАХОДІВ</w:t>
      </w:r>
      <w:r>
        <w:rPr>
          <w:rFonts w:ascii="Times New Roman" w:hAnsi="Times New Roman" w:cs="Times New Roman"/>
          <w:lang w:val="uk-UA" w:eastAsia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Концепції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розвитку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молодіжної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19F8F6" w14:textId="77777777" w:rsidR="00AE31CC" w:rsidRDefault="00AE31CC" w:rsidP="00AE31CC">
      <w:pPr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у Білгород – Дністровській міській територіальній громаді на період до 2026 року</w:t>
      </w:r>
    </w:p>
    <w:p w14:paraId="4870EBE7" w14:textId="77777777" w:rsidR="00AE31CC" w:rsidRDefault="00AE31CC" w:rsidP="00AE31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3827"/>
        <w:gridCol w:w="2127"/>
      </w:tblGrid>
      <w:tr w:rsidR="00AE31CC" w14:paraId="61FACE3C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E465" w14:textId="77777777" w:rsidR="00AE31CC" w:rsidRDefault="00AE31CC" w:rsidP="00417C45">
            <w:pPr>
              <w:jc w:val="center"/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№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 w:eastAsia="en-US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CA9D" w14:textId="77777777" w:rsidR="00AE31CC" w:rsidRDefault="00AE31CC" w:rsidP="00417C45">
            <w:pPr>
              <w:jc w:val="center"/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Найменування заходу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AD4C" w14:textId="77777777" w:rsidR="00AE31CC" w:rsidRDefault="00AE31CC" w:rsidP="00417C45">
            <w:pPr>
              <w:jc w:val="center"/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Відповідальні за виконання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024C" w14:textId="77777777" w:rsidR="00AE31CC" w:rsidRDefault="00AE31CC" w:rsidP="00417C45">
            <w:pPr>
              <w:jc w:val="center"/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Строк виконання</w:t>
            </w:r>
          </w:p>
        </w:tc>
      </w:tr>
      <w:tr w:rsidR="00AE31CC" w14:paraId="262B09B1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CF93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3D4C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uk-UA"/>
              </w:rPr>
              <w:t>Оцінка ефективності молодіжної політики в громаді, розроблення рекомендацій, проєктів плану заходів, міської цільової програми, стратегії розвитку молодіжної політики, тощо.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9967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C395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59034E32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879E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9AB4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uk-UA"/>
              </w:rPr>
              <w:t>Аналіз становища молоді громади, дослідження її потреб, інтересів, цінностей, соціально-економічного становища, вивчення та створення бази статистичних даних тощо.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D138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1508256B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економіки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25B4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61E280D8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ABE7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B1A7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Аналіз можливостей громади: визначення пріоритетів, ресурсів, наявної інфраструктури, можливостей залучення фінансування.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53DF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3AE863C2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економіки, Фінансове управління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9D7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2024-2025 </w:t>
            </w:r>
          </w:p>
        </w:tc>
      </w:tr>
      <w:tr w:rsidR="00AE31CC" w14:paraId="2B711D36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D0F6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4435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Зміцнення партнерства між органами місцевого самоврядування та інститутами громадянського суспільства, що працюють з дітьми та молоддю. Поширення інструментів участі молоді в прийнятті рішень на місцевому рівні, зокрема через розвиток молодіжних консультативно-дорадчих органів, учнівського та студентського самоврядування, створення дитячих, молодіжних громадських організацій та об’єднань.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931A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4C770ADC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Громадські організації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7F87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5ED7E654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58D1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63E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Молодіжна політика через практику мапування. Запровадити проведення дослідження об'єктів молодіжної інфраструктури силами самої молоді. Відвідувати місця молодіжних активностей, оцінювати їх роботи, фото, а також наносити дані на гугл-мапу, дослідивши рідне місто за допомогою такого інструменту як соціальне картування.</w:t>
            </w:r>
          </w:p>
          <w:p w14:paraId="34325AD5" w14:textId="77777777" w:rsidR="00AE31CC" w:rsidRDefault="00AE31CC" w:rsidP="00417C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5CD9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9E89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</w:tr>
      <w:tr w:rsidR="00AE31CC" w14:paraId="31C80988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14142" w:type="dxa"/>
            <w:gridSpan w:val="4"/>
            <w:shd w:val="clear" w:color="auto" w:fill="auto"/>
          </w:tcPr>
          <w:p w14:paraId="1BAC0853" w14:textId="77777777" w:rsidR="00AE31CC" w:rsidRDefault="00AE31CC" w:rsidP="00417C45">
            <w:pPr>
              <w:snapToGrid w:val="0"/>
              <w:ind w:left="360"/>
              <w:jc w:val="right"/>
            </w:pPr>
            <w:r>
              <w:rPr>
                <w:rFonts w:ascii="Times New Roman" w:hAnsi="Times New Roman" w:cs="Times New Roman"/>
                <w:lang w:val="uk-UA"/>
              </w:rPr>
              <w:t>2                                                                   Продовження додатку</w:t>
            </w:r>
          </w:p>
        </w:tc>
      </w:tr>
      <w:tr w:rsidR="00AE31CC" w14:paraId="722EF6A4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74C8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F658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інформаційно-просвітницьких кампаній для інформування молоді, зокрема вразливих категорій молоді, про можливості, наявні та нові інструменти, її права та обов’язки з метою її розвитку, участі та інтеграції у суспільне життя.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7811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645C05CE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A3AD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5B5A3FEA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E6C5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CA56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Сприяння ознайомленню місцевої молоді з процесами державотворення та механізмом функціонування і взаємодії інститутів політичної системи, діяльністю органів державної влади та органів місцевого самоврядування, а також їх посадових осіб. Залучення до державної служби та служби в органах місцевого самоврядування шляхом організації стажування молоді при управліннях, відділах виконавчого комітету міської ради, направлення молоді на навчання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у сфері управління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3CFA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5FB426B3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Виконком, депутати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7FBD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44E0AB9E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CE13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6F1D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культури підприємництва (у тому числі соціального), використання інноваційного потенціалу, стимулювання до відкриття власної справи, просування (промоції) креативних індустрій серед молоді, а також підвищення рівня економічної самостійності молоді.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9EEE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585CB972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економіки, Центр зайнятості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31F6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58037F9D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B2F9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EDD8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у молодих батьків відповідального ставлення до виховання своїх дітей шляхом підвищення рівня власної поінформованості та адаптації найкращих світових практик з виховання дітей і батьківства, просвітницька діяльність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6D2E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6BB86556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761A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32CC7736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7E68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237D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Запровадження та популяризація практичного курсу для молоді  «Позитивне батьківство».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45BB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5462F02C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AEA2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2025-2026</w:t>
            </w:r>
          </w:p>
        </w:tc>
      </w:tr>
      <w:tr w:rsidR="00AE31CC" w14:paraId="2FC05579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1DEB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AF44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Забезпечити надання психологічної допомоги молоді, в тому числі молодим сім'ям.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96F3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56A1BA8C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77A3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2BF89CC4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D1B6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E2EB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Підтримка і надання послуг молодим сім'ям, зокрема тим, що потрапили у складні життєві обставини.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4D3A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41BD9930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AE97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335B2692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D0BC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ABB7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Забезпечити формування навичок здорового способу життя, розвитку фізичної культури, культури здорового харчування та психогігієни в молодіжному середовищі.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6938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45BC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1734C3D5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14142" w:type="dxa"/>
            <w:gridSpan w:val="4"/>
            <w:shd w:val="clear" w:color="auto" w:fill="auto"/>
          </w:tcPr>
          <w:p w14:paraId="4AE390BF" w14:textId="77777777" w:rsidR="00AE31CC" w:rsidRDefault="00AE31CC" w:rsidP="00417C45">
            <w:pPr>
              <w:snapToGrid w:val="0"/>
              <w:ind w:left="360"/>
              <w:jc w:val="right"/>
            </w:pPr>
            <w:r>
              <w:rPr>
                <w:rFonts w:ascii="Times New Roman" w:hAnsi="Times New Roman" w:cs="Times New Roman"/>
                <w:lang w:val="uk-UA"/>
              </w:rPr>
              <w:t>3                                                                   Продовження додатку</w:t>
            </w:r>
          </w:p>
        </w:tc>
      </w:tr>
      <w:tr w:rsidR="00AE31CC" w14:paraId="78C5C3C9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10D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9549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Розширення переліку медичних послуг для молоді, а також консультування і супроводження з питань фізичного та психічного здоров'я, вакцинації, запобігання інфекційним та неінфекційним захворюванням, у тому числі таким, що передаються статевим шляхом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EB23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26665A7C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 охорони здоров’я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0670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AE31CC" w14:paraId="5EED7B2B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F2B3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A075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Запровадити підвищення якості надання медичних послуг для молоді у закладах охорони здоров'я, у тому числі через лікарів загальної практики - сімейних лікарів.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83C4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664AD92E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 охорони здоров’я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B7E3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27B966D4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1C8D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37B1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Сприяння розвитку неформальних спортивних рухів (брейкданс, паркур, бітбокс, діджеїнг, стрітбол, ролерблейдинг, скейтбординг, сноубординг тощо), вуличних тренувань та фізичної культури.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85C6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73C4DC29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Відділ культури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0BED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27D60FF2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A3CB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4EE1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Запровадити заходи з підвищення рівня конкурентоспроможності молоді, створення умов для набуття нею управлінських, громадянських та соціальних компетентностей, розвитку підприємливості та самостійності молоді.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E70D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23FCCB58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економіки, Центр зайнятості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BEEB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16FC1FE0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70D5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84E1" w14:textId="77777777" w:rsidR="00AE31CC" w:rsidRDefault="00AE31CC" w:rsidP="00417C45">
            <w:pPr>
              <w:ind w:left="37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Створення можливостей для особистісного зростання молоді, орієнтованих на різні вікові групи, а саме:</w:t>
            </w:r>
          </w:p>
          <w:p w14:paraId="49157BFC" w14:textId="77777777" w:rsidR="00AE31CC" w:rsidRDefault="00AE31CC" w:rsidP="00417C45">
            <w:pPr>
              <w:ind w:left="37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формування ключових компетентностей, необхідних кожній сучасній людині для самореалізації;</w:t>
            </w:r>
          </w:p>
          <w:p w14:paraId="584260FD" w14:textId="77777777" w:rsidR="00AE31CC" w:rsidRDefault="00AE31CC" w:rsidP="00417C45">
            <w:pPr>
              <w:ind w:left="37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розвиток лідерства, лідерських навичок (саморозвиток, міжособистісні стосунки та суспільна відповідальність) як складових освітніх заходів та програм формальної і неформальної освіти;</w:t>
            </w:r>
          </w:p>
          <w:p w14:paraId="058FC013" w14:textId="77777777" w:rsidR="00AE31CC" w:rsidRDefault="00AE31CC" w:rsidP="00417C45">
            <w:pPr>
              <w:ind w:left="37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створення умов для утвердження серед молоді принципів доброчесності;</w:t>
            </w:r>
          </w:p>
          <w:p w14:paraId="76C85D89" w14:textId="77777777" w:rsidR="00AE31CC" w:rsidRDefault="00AE31CC" w:rsidP="00417C45">
            <w:pPr>
              <w:ind w:left="37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розвиток  компетентностей, необхідних для реалізації потенціалу молоді, її інтеграції у суспільне життя, адаптації до викликів сучасного світу, що швидко змінюється (у тому числі щодо поваги до прав людини, розвитку критичного мислення та медіаграмотності).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394A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DB11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5552A2E7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A239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5A59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Для забезпечення професійного самовизначення молоді та кар’єрного зросту, підвищення її самостійності, конкурентоспроможності та формування громадянських компетентностей забезпечити:</w:t>
            </w:r>
          </w:p>
          <w:p w14:paraId="0F99C28E" w14:textId="77777777" w:rsidR="00AE31CC" w:rsidRDefault="00AE31CC" w:rsidP="00417C45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7A3C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04630F91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Центр зайнятості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D0E4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66451D5C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14142" w:type="dxa"/>
            <w:gridSpan w:val="4"/>
            <w:shd w:val="clear" w:color="auto" w:fill="auto"/>
          </w:tcPr>
          <w:p w14:paraId="5E405D38" w14:textId="77777777" w:rsidR="00AE31CC" w:rsidRDefault="00AE31CC" w:rsidP="00417C45">
            <w:pPr>
              <w:snapToGrid w:val="0"/>
              <w:ind w:left="360"/>
              <w:jc w:val="right"/>
            </w:pPr>
            <w:r>
              <w:rPr>
                <w:rFonts w:ascii="Times New Roman" w:hAnsi="Times New Roman" w:cs="Times New Roman"/>
                <w:lang w:val="uk-UA"/>
              </w:rPr>
              <w:t>4                                                                   Продовження додатку</w:t>
            </w:r>
          </w:p>
        </w:tc>
      </w:tr>
      <w:tr w:rsidR="00AE31CC" w14:paraId="2E7B5FC3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4178" w14:textId="77777777" w:rsidR="00AE31CC" w:rsidRDefault="00AE31CC" w:rsidP="00417C45">
            <w:pPr>
              <w:snapToGrid w:val="0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</w:tcBorders>
            <w:shd w:val="clear" w:color="auto" w:fill="auto"/>
          </w:tcPr>
          <w:p w14:paraId="60D05369" w14:textId="77777777" w:rsidR="00AE31CC" w:rsidRPr="00A84D12" w:rsidRDefault="00AE31CC" w:rsidP="00417C45">
            <w:pPr>
              <w:numPr>
                <w:ilvl w:val="0"/>
                <w:numId w:val="2"/>
              </w:numPr>
              <w:ind w:left="37" w:firstLine="323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профорієнтаційної роботи серед учнів старшого шкільного віку закладів загальної середньої освіти міста;</w:t>
            </w:r>
          </w:p>
          <w:p w14:paraId="331CD38A" w14:textId="77777777" w:rsidR="00AE31CC" w:rsidRDefault="00AE31CC" w:rsidP="00417C45">
            <w:pPr>
              <w:numPr>
                <w:ilvl w:val="0"/>
                <w:numId w:val="2"/>
              </w:numPr>
              <w:ind w:left="37" w:firstLine="323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створення умов для свідомого вибору професійної діяльності через практику і стажування, розширення доступу до навчання та інших освітніх можливостей, орієнтованих на ринок праці;</w:t>
            </w:r>
          </w:p>
          <w:p w14:paraId="73EC1A4A" w14:textId="77777777" w:rsidR="00AE31CC" w:rsidRDefault="00AE31CC" w:rsidP="00417C45">
            <w:pPr>
              <w:numPr>
                <w:ilvl w:val="0"/>
                <w:numId w:val="2"/>
              </w:numPr>
              <w:ind w:left="37" w:firstLine="323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просування (промоція) креативних індустрій серед молоді; </w:t>
            </w:r>
          </w:p>
          <w:p w14:paraId="43B97BD3" w14:textId="77777777" w:rsidR="00AE31CC" w:rsidRDefault="00AE31CC" w:rsidP="00417C45">
            <w:pPr>
              <w:numPr>
                <w:ilvl w:val="0"/>
                <w:numId w:val="2"/>
              </w:numPr>
              <w:ind w:left="37" w:firstLine="323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підвищення рівня конкурентоспроможності та зайнятості молоді, здійснення консультування щодо професійного і кар'єрного розвитку, враховуючи її інтереси, можливості та потреби ринку праці, із залученням батьків, роботодавців та інших заінтересованих сторін з урахуванням їх впливу на вибір професійної діяльності;</w:t>
            </w:r>
          </w:p>
          <w:p w14:paraId="3DD019B4" w14:textId="77777777" w:rsidR="00AE31CC" w:rsidRDefault="00AE31CC" w:rsidP="00417C45">
            <w:pPr>
              <w:numPr>
                <w:ilvl w:val="0"/>
                <w:numId w:val="2"/>
              </w:numPr>
              <w:ind w:left="37" w:firstLine="323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створення можливостей для зниження частки економічно неактивних молодих українців, які не шукають роботи, не навчаються, не здобувають кваліфікації і не працюють;</w:t>
            </w:r>
          </w:p>
          <w:p w14:paraId="7376F63D" w14:textId="77777777" w:rsidR="00AE31CC" w:rsidRDefault="00AE31CC" w:rsidP="00417C45">
            <w:pPr>
              <w:numPr>
                <w:ilvl w:val="0"/>
                <w:numId w:val="2"/>
              </w:numPr>
              <w:ind w:left="37" w:firstLine="323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формування культури підприємництва, використання інноваційного потенціалу, стимулювання до відкриття власної справи;</w:t>
            </w:r>
          </w:p>
          <w:p w14:paraId="35D178EC" w14:textId="77777777" w:rsidR="00AE31CC" w:rsidRDefault="00AE31CC" w:rsidP="00417C45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заохочення молоді до отримання якісної освіти (STEM-освіти, STEAM-освіти), проведення досліджень.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CBD4" w14:textId="77777777" w:rsidR="00AE31CC" w:rsidRDefault="00AE31CC" w:rsidP="00417C45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528B" w14:textId="77777777" w:rsidR="00AE31CC" w:rsidRDefault="00AE31CC" w:rsidP="00417C45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E31CC" w14:paraId="61BF75FB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7755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DA43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Підтримка формального та неформального навчання щодо інструментів участі молоді для представників органів державної влади та органів місцевого самоврядування.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02C6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  <w:p w14:paraId="083835E2" w14:textId="77777777" w:rsidR="00AE31CC" w:rsidRDefault="00AE31CC" w:rsidP="00417C4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CB4F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2446E116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07C3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74B1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Підготовка фахівців, які працюють з дітьми та молоддю, у тому числі молодіжних працівників.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94A0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8E4C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5A13BB71" w14:textId="77777777" w:rsidTr="00417C45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DCE9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C146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Сприяння розвитку молодіжних центрів, просторів в громаді різних форм власності та підпорядкування.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39BF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51BD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6FAD0BB6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BA96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F2D8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Створення умов і можливостей для розвитку та посилення спроможності органів учнівського та студентського самоврядування, студентських та молодіжних консультативно-дорадчих органів при міській раді, молодіжних рад як дієвих інструментів участі молоді у процесах ухвалення рішень та їх навчання.</w:t>
            </w:r>
          </w:p>
          <w:p w14:paraId="430526F4" w14:textId="77777777" w:rsidR="00AE31CC" w:rsidRPr="00A84D12" w:rsidRDefault="00AE31CC" w:rsidP="00417C45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3A5B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7520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</w:tr>
      <w:tr w:rsidR="00AE31CC" w14:paraId="17C4F06B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14142" w:type="dxa"/>
            <w:gridSpan w:val="4"/>
            <w:shd w:val="clear" w:color="auto" w:fill="auto"/>
          </w:tcPr>
          <w:p w14:paraId="5CA74312" w14:textId="77777777" w:rsidR="00AE31CC" w:rsidRDefault="00AE31CC" w:rsidP="00417C45">
            <w:pPr>
              <w:snapToGrid w:val="0"/>
              <w:ind w:left="360"/>
              <w:jc w:val="right"/>
            </w:pPr>
            <w:r>
              <w:rPr>
                <w:rFonts w:ascii="Times New Roman" w:hAnsi="Times New Roman" w:cs="Times New Roman"/>
                <w:lang w:val="uk-UA"/>
              </w:rPr>
              <w:t>5                                                                   Продовження додатку</w:t>
            </w:r>
          </w:p>
        </w:tc>
      </w:tr>
      <w:tr w:rsidR="00AE31CC" w14:paraId="0F97F7E0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FB67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AA02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Створення умов для формальної, неформальної та інформальної освіти представників органів державної влади та органів місцевого самоврядування з питань залучення молоді до процесів ухвалення рішень на державному, регіональному, місцевому рівнях.</w:t>
            </w:r>
          </w:p>
          <w:p w14:paraId="517AF7DA" w14:textId="77777777" w:rsidR="00AE31CC" w:rsidRDefault="00AE31CC" w:rsidP="00417C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39F6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956B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7C67C15A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0339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7A0D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Залучення молоді до вирішення питань, пов'язаних з навколишнім природним середовищем.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FE1D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A3FB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4B5F8EAE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8C7D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5561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Сприяння створенню умов для розвитку спроможності інститутів громадянського суспільства у молодіжній сфері.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2608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69D6D8CB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економіки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E66B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339D3750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9423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BDE8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Сприяння участі молоді у діяльності інститутів громадянського суспільства.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5A26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6128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4400E692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D49A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D7EF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Покращення цифрових компетентностей молоді та забезпечення доступу до нового покоління цифрової інфраструктури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CA4E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1469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6AD02550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5490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1D3C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Створення безбар’єрного середовища для усіх категорій молоді, з метою соціальної інтеграції, а саме:</w:t>
            </w:r>
          </w:p>
          <w:p w14:paraId="678D69A0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проведення суспільно-просвітницьких кампаній, спрямованих на виховання у громадян поваги до прав осіб з інвалідністю та заохочення позитивних уявлень про осіб з інвалідністю і кращого розуміння їх суспільством;</w:t>
            </w:r>
          </w:p>
          <w:p w14:paraId="371A0F5E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- підтримки та заохочення молоді із сімей, які опинилися під загрозою бідності та соціальної ізоляції, для інтеграції та повноцінної участі у соціальному, громадському та економічному житті; </w:t>
            </w:r>
          </w:p>
          <w:p w14:paraId="7DCC66BB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реінтеграції молоді, яка проживає на тимчасово окупованих територіях України, та з числа внутрішньо переміщених осіб до культурного, інформаційного, освітнього простору громади, регіону і України;</w:t>
            </w:r>
          </w:p>
          <w:p w14:paraId="258E0F1E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підтримки та заохочення осіб з інвалідністю до повноцінної участі в економічному, соціальному та громадському житті;</w:t>
            </w:r>
          </w:p>
          <w:p w14:paraId="55E6BD0D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запровадження ефективних соціально-гуманітарних механізмів інтеграції до соціального, громадського та економічного життя</w:t>
            </w:r>
          </w:p>
          <w:p w14:paraId="0FEF7CAF" w14:textId="77777777" w:rsidR="00AE31CC" w:rsidRDefault="00AE31CC" w:rsidP="00417C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FAB2" w14:textId="77777777" w:rsidR="00AE31CC" w:rsidRPr="00A84D12" w:rsidRDefault="00AE31CC" w:rsidP="00417C45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 w:rsidRPr="00A84D1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1534768D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економіки, Департамент соціальної політики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CAAE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AE31CC" w14:paraId="4A3DD20E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14142" w:type="dxa"/>
            <w:gridSpan w:val="4"/>
            <w:shd w:val="clear" w:color="auto" w:fill="auto"/>
          </w:tcPr>
          <w:p w14:paraId="4E345F6E" w14:textId="77777777" w:rsidR="00AE31CC" w:rsidRDefault="00AE31CC" w:rsidP="00417C45">
            <w:pPr>
              <w:snapToGrid w:val="0"/>
              <w:ind w:left="360"/>
              <w:jc w:val="right"/>
            </w:pPr>
            <w:r>
              <w:rPr>
                <w:rFonts w:ascii="Times New Roman" w:hAnsi="Times New Roman" w:cs="Times New Roman"/>
                <w:lang w:val="uk-UA"/>
              </w:rPr>
              <w:t>6                                                                   Продовження додатку</w:t>
            </w:r>
          </w:p>
        </w:tc>
      </w:tr>
      <w:tr w:rsidR="00AE31CC" w14:paraId="5EE78525" w14:textId="77777777" w:rsidTr="00417C45">
        <w:tblPrEx>
          <w:tblCellMar>
            <w:top w:w="55" w:type="dxa"/>
            <w:bottom w:w="55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4DC9" w14:textId="77777777" w:rsidR="00AE31CC" w:rsidRDefault="00AE31CC" w:rsidP="00417C45">
            <w:pPr>
              <w:snapToGrid w:val="0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E4AC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 молоді, яка проживає на тимчасово окупованих територіях України; залучення молоді, яка проживає на тимчасово окупованих територіях України, та з числа внутрішньо переміщених осіб до активного суспільного життя в громаді, регіоні, Україні; </w:t>
            </w:r>
          </w:p>
          <w:p w14:paraId="3EE56D5B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- соціальної адаптації молоді, яка відбула покарання у виді обмеження волі або позбавлення волі на певний строк; </w:t>
            </w:r>
          </w:p>
          <w:p w14:paraId="02A111DB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сприяння здійсненню заходів, спрямованих на удосконалення механізмів забезпечення молоді житлом.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B135" w14:textId="77777777" w:rsidR="00AE31CC" w:rsidRDefault="00AE31CC" w:rsidP="00417C45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365D" w14:textId="77777777" w:rsidR="00AE31CC" w:rsidRDefault="00AE31CC" w:rsidP="00417C45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E31CC" w14:paraId="57BCC5D9" w14:textId="77777777" w:rsidTr="00417C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C3D7" w14:textId="77777777" w:rsidR="00AE31CC" w:rsidRDefault="00AE31CC" w:rsidP="00417C45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026B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Для забезпечення участі молоді у прийнятті рішень стосовно життя громади, України та світу спланувати та запровадити заходи із: </w:t>
            </w:r>
          </w:p>
          <w:p w14:paraId="75FAB1B0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забезпечення рівних можливостей для самореалізації молоді;</w:t>
            </w:r>
          </w:p>
          <w:p w14:paraId="2D7F9F94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запобігання і протидія стереотипам та дискримінації;</w:t>
            </w:r>
          </w:p>
          <w:p w14:paraId="1419C750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- сприяння гендерній рівності, взаємній повазі серед молоді та розширення обізнаності про культурне різноманіття та способи життя молоді; забезпечення гендерної рівності у трудових відносинах; </w:t>
            </w:r>
          </w:p>
          <w:p w14:paraId="3BFFF3AC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- розвитку волонтерської діяльності та мобільності молоді в межах регіону, області, України та в партнерстві з іншими державами; </w:t>
            </w:r>
          </w:p>
          <w:p w14:paraId="6533DC62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забезпечення участі молоді у міжнародних молодіжних обмінах, зокрема у рамках програм Ради Європи та Європейського Союзу;</w:t>
            </w:r>
          </w:p>
          <w:p w14:paraId="119A7FB5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заохочення представників молоді до участі у відборі кандидатів у члени Дунайської молодіжної ради, а також сприяння участі у самітах у разі проходження конкурсу;</w:t>
            </w:r>
          </w:p>
          <w:p w14:paraId="6F221001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- формування серед молоді розширеного поняття української ідентичності, яке базується не тільки на походженні, а й на цінностях та виборі; </w:t>
            </w:r>
          </w:p>
          <w:p w14:paraId="08CCDA9F" w14:textId="77777777" w:rsidR="00AE31CC" w:rsidRDefault="00AE31CC" w:rsidP="00417C45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- залучення молоді, у тому числі молодих іммігрантів, закордонних українців, іноземців, які мають інтерес до української культури, у соціальне, економічне, культурне життя України.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BABD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освіти Білгород-Дністровської міської ради,</w:t>
            </w:r>
          </w:p>
          <w:p w14:paraId="2F67A83F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Департамент економіки, Департамент соціальної політики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4C95" w14:textId="77777777" w:rsidR="00AE31CC" w:rsidRDefault="00AE31CC" w:rsidP="00417C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</w:tbl>
    <w:p w14:paraId="7FFEE7E0" w14:textId="77777777" w:rsidR="00AE31CC" w:rsidRDefault="00AE31CC" w:rsidP="00AE31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12789A" w14:textId="77777777" w:rsidR="00AE31CC" w:rsidRDefault="00AE31CC" w:rsidP="00AE31CC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____________________________________________________</w:t>
      </w:r>
    </w:p>
    <w:p w14:paraId="6CA9B270" w14:textId="77777777" w:rsidR="00AE31CC" w:rsidRDefault="00AE31CC" w:rsidP="00AE31CC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Керуючий справами                                                                                                  Ігор ВЕЛИЧКО</w:t>
      </w:r>
    </w:p>
    <w:p w14:paraId="70BFEE44" w14:textId="77777777" w:rsidR="002B760B" w:rsidRDefault="002B760B"/>
    <w:sectPr w:rsidR="002B760B" w:rsidSect="00AE31CC">
      <w:pgSz w:w="16838" w:h="11906" w:orient="landscape"/>
      <w:pgMar w:top="1701" w:right="1134" w:bottom="709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uk-UA"/>
      </w:rPr>
    </w:lvl>
  </w:abstractNum>
  <w:num w:numId="1" w16cid:durableId="772633340">
    <w:abstractNumId w:val="0"/>
  </w:num>
  <w:num w:numId="2" w16cid:durableId="204937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CC"/>
    <w:rsid w:val="002B760B"/>
    <w:rsid w:val="00711C25"/>
    <w:rsid w:val="00A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860"/>
  <w15:chartTrackingRefBased/>
  <w15:docId w15:val="{0364640D-C769-4351-86CC-C9D7BDC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CC"/>
    <w:pPr>
      <w:widowControl w:val="0"/>
      <w:suppressAutoHyphens/>
      <w:autoSpaceDE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Velychko</dc:creator>
  <cp:keywords/>
  <dc:description/>
  <cp:lastModifiedBy>Ihor Velychko</cp:lastModifiedBy>
  <cp:revision>1</cp:revision>
  <dcterms:created xsi:type="dcterms:W3CDTF">2024-11-13T12:00:00Z</dcterms:created>
  <dcterms:modified xsi:type="dcterms:W3CDTF">2024-11-13T12:02:00Z</dcterms:modified>
</cp:coreProperties>
</file>