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A7D79C" w14:textId="07FADCEA" w:rsidR="00612FE1" w:rsidRPr="00E962BE" w:rsidRDefault="00BC3115">
      <w:pPr>
        <w:pStyle w:val="1"/>
        <w:keepNext/>
        <w:tabs>
          <w:tab w:val="left" w:pos="993"/>
        </w:tabs>
        <w:spacing w:before="120" w:after="120"/>
        <w:ind w:left="567"/>
        <w:jc w:val="center"/>
        <w:rPr>
          <w:rFonts w:ascii="Times New Roman" w:eastAsia="Times New Roman" w:hAnsi="Times New Roman"/>
          <w:i/>
          <w:sz w:val="24"/>
        </w:rPr>
      </w:pPr>
      <w:r w:rsidRPr="00E962BE">
        <w:rPr>
          <w:noProof/>
        </w:rPr>
        <w:drawing>
          <wp:inline distT="0" distB="0" distL="0" distR="0" wp14:anchorId="3AC0B2C3" wp14:editId="54F64D28">
            <wp:extent cx="5048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676275"/>
                    </a:xfrm>
                    <a:prstGeom prst="rect">
                      <a:avLst/>
                    </a:prstGeom>
                    <a:noFill/>
                    <a:ln>
                      <a:noFill/>
                    </a:ln>
                  </pic:spPr>
                </pic:pic>
              </a:graphicData>
            </a:graphic>
          </wp:inline>
        </w:drawing>
      </w:r>
    </w:p>
    <w:p w14:paraId="6E073D02" w14:textId="77777777" w:rsidR="00612FE1" w:rsidRPr="00E962BE" w:rsidRDefault="00612FE1">
      <w:pPr>
        <w:pStyle w:val="1"/>
        <w:keepNext/>
        <w:tabs>
          <w:tab w:val="left" w:pos="993"/>
        </w:tabs>
        <w:spacing w:before="120" w:after="120" w:line="360" w:lineRule="auto"/>
        <w:ind w:left="567"/>
        <w:jc w:val="center"/>
        <w:rPr>
          <w:rFonts w:ascii="Times New Roman" w:eastAsia="Times New Roman" w:hAnsi="Times New Roman"/>
          <w:b/>
          <w:sz w:val="28"/>
        </w:rPr>
      </w:pPr>
      <w:r w:rsidRPr="00E962BE">
        <w:rPr>
          <w:rFonts w:ascii="Times New Roman" w:eastAsia="Times New Roman" w:hAnsi="Times New Roman"/>
          <w:b/>
          <w:sz w:val="28"/>
        </w:rPr>
        <w:t>БІЛГОРОД-ДНІСТРОВСЬКА МІСЬКА РАДА</w:t>
      </w:r>
    </w:p>
    <w:p w14:paraId="26BC5E8E" w14:textId="77777777" w:rsidR="00612FE1" w:rsidRPr="00E962BE" w:rsidRDefault="00612FE1">
      <w:pPr>
        <w:pStyle w:val="1"/>
        <w:keepNext/>
        <w:tabs>
          <w:tab w:val="left" w:pos="993"/>
        </w:tabs>
        <w:spacing w:before="120" w:after="120" w:line="360" w:lineRule="auto"/>
        <w:ind w:left="567"/>
        <w:jc w:val="center"/>
        <w:rPr>
          <w:rFonts w:ascii="Times New Roman" w:eastAsia="Times New Roman" w:hAnsi="Times New Roman"/>
          <w:b/>
          <w:sz w:val="28"/>
        </w:rPr>
      </w:pPr>
      <w:r w:rsidRPr="00E962BE">
        <w:rPr>
          <w:rFonts w:ascii="Times New Roman" w:eastAsia="Times New Roman" w:hAnsi="Times New Roman"/>
          <w:b/>
          <w:sz w:val="28"/>
        </w:rPr>
        <w:t xml:space="preserve">ВИКОНАВЧИЙ КОМІТЕТ </w:t>
      </w:r>
    </w:p>
    <w:p w14:paraId="2384258F" w14:textId="77777777" w:rsidR="00612FE1" w:rsidRPr="00E962BE" w:rsidRDefault="00612FE1">
      <w:pPr>
        <w:pStyle w:val="1"/>
        <w:keepNext/>
        <w:tabs>
          <w:tab w:val="left" w:pos="993"/>
        </w:tabs>
        <w:spacing w:before="120" w:after="120" w:line="360" w:lineRule="auto"/>
        <w:ind w:left="567"/>
        <w:jc w:val="center"/>
        <w:rPr>
          <w:rFonts w:ascii="Times New Roman" w:eastAsia="Times New Roman" w:hAnsi="Times New Roman"/>
          <w:b/>
          <w:sz w:val="28"/>
        </w:rPr>
      </w:pPr>
      <w:r w:rsidRPr="00E962BE">
        <w:rPr>
          <w:rFonts w:ascii="Times New Roman" w:eastAsia="Times New Roman" w:hAnsi="Times New Roman"/>
          <w:b/>
          <w:sz w:val="28"/>
        </w:rPr>
        <w:t>Р І Ш Е Н Н Я</w:t>
      </w:r>
    </w:p>
    <w:tbl>
      <w:tblPr>
        <w:tblW w:w="9570" w:type="dxa"/>
        <w:tblInd w:w="455" w:type="dxa"/>
        <w:tblLayout w:type="fixed"/>
        <w:tblLook w:val="0000" w:firstRow="0" w:lastRow="0" w:firstColumn="0" w:lastColumn="0" w:noHBand="0" w:noVBand="0"/>
      </w:tblPr>
      <w:tblGrid>
        <w:gridCol w:w="3622"/>
        <w:gridCol w:w="2758"/>
        <w:gridCol w:w="3190"/>
      </w:tblGrid>
      <w:tr w:rsidR="00612FE1" w:rsidRPr="00612FE1" w14:paraId="003336E7" w14:textId="77777777" w:rsidTr="00612FE1">
        <w:trPr>
          <w:trHeight w:val="620"/>
        </w:trPr>
        <w:tc>
          <w:tcPr>
            <w:tcW w:w="3622" w:type="dxa"/>
          </w:tcPr>
          <w:p w14:paraId="1FA1ACBA" w14:textId="574028B0" w:rsidR="00612FE1" w:rsidRPr="00612FE1" w:rsidRDefault="00612FE1" w:rsidP="00612FE1">
            <w:pPr>
              <w:pStyle w:val="1"/>
              <w:spacing w:before="120"/>
              <w:rPr>
                <w:rFonts w:ascii="Times New Roman" w:eastAsia="Times New Roman" w:hAnsi="Times New Roman"/>
                <w:b/>
                <w:sz w:val="24"/>
              </w:rPr>
            </w:pPr>
            <w:r w:rsidRPr="00612FE1">
              <w:rPr>
                <w:rFonts w:ascii="Times New Roman" w:eastAsia="Times New Roman" w:hAnsi="Times New Roman"/>
                <w:sz w:val="24"/>
              </w:rPr>
              <w:t xml:space="preserve">від </w:t>
            </w:r>
            <w:r w:rsidR="00BC3115">
              <w:rPr>
                <w:rFonts w:ascii="Times New Roman" w:eastAsia="Times New Roman" w:hAnsi="Times New Roman"/>
                <w:sz w:val="24"/>
              </w:rPr>
              <w:t>12.12.2025</w:t>
            </w:r>
            <w:r w:rsidRPr="00612FE1">
              <w:rPr>
                <w:rFonts w:ascii="Times New Roman" w:eastAsia="Times New Roman" w:hAnsi="Times New Roman"/>
                <w:sz w:val="24"/>
              </w:rPr>
              <w:t xml:space="preserve"> р.</w:t>
            </w:r>
          </w:p>
        </w:tc>
        <w:tc>
          <w:tcPr>
            <w:tcW w:w="2758" w:type="dxa"/>
          </w:tcPr>
          <w:p w14:paraId="186C23E1" w14:textId="77777777" w:rsidR="00612FE1" w:rsidRPr="00612FE1" w:rsidRDefault="00612FE1" w:rsidP="00612FE1">
            <w:pPr>
              <w:pStyle w:val="1"/>
              <w:spacing w:before="120"/>
              <w:jc w:val="center"/>
              <w:rPr>
                <w:rFonts w:ascii="Times New Roman" w:eastAsia="Times New Roman" w:hAnsi="Times New Roman"/>
                <w:b/>
                <w:sz w:val="24"/>
              </w:rPr>
            </w:pPr>
          </w:p>
        </w:tc>
        <w:tc>
          <w:tcPr>
            <w:tcW w:w="3190" w:type="dxa"/>
          </w:tcPr>
          <w:p w14:paraId="07A92D15" w14:textId="424850BA" w:rsidR="00612FE1" w:rsidRPr="00612FE1" w:rsidRDefault="00612FE1" w:rsidP="00612FE1">
            <w:pPr>
              <w:pStyle w:val="1"/>
              <w:spacing w:before="120"/>
              <w:ind w:firstLine="567"/>
              <w:rPr>
                <w:rFonts w:ascii="Times New Roman" w:eastAsia="Times New Roman" w:hAnsi="Times New Roman"/>
                <w:b/>
                <w:sz w:val="24"/>
              </w:rPr>
            </w:pPr>
            <w:r w:rsidRPr="00612FE1">
              <w:rPr>
                <w:rFonts w:ascii="Times New Roman" w:eastAsia="Times New Roman" w:hAnsi="Times New Roman"/>
                <w:sz w:val="24"/>
              </w:rPr>
              <w:t xml:space="preserve">№ </w:t>
            </w:r>
            <w:r w:rsidR="00BC3115">
              <w:rPr>
                <w:rFonts w:ascii="Times New Roman" w:eastAsia="Times New Roman" w:hAnsi="Times New Roman"/>
                <w:sz w:val="24"/>
              </w:rPr>
              <w:t>484</w:t>
            </w:r>
          </w:p>
        </w:tc>
      </w:tr>
    </w:tbl>
    <w:p w14:paraId="47CDFF34" w14:textId="77777777" w:rsidR="00612FE1" w:rsidRPr="00E962BE" w:rsidRDefault="00612FE1">
      <w:pPr>
        <w:pStyle w:val="1"/>
        <w:spacing w:after="0" w:line="240" w:lineRule="auto"/>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 xml:space="preserve">Про встановлення порядку використання </w:t>
      </w:r>
    </w:p>
    <w:p w14:paraId="44C44C14" w14:textId="77777777" w:rsidR="00612FE1" w:rsidRPr="00E962BE" w:rsidRDefault="00612FE1">
      <w:pPr>
        <w:pStyle w:val="1"/>
        <w:spacing w:after="0" w:line="240" w:lineRule="auto"/>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населенням (працівниками) об’єктів фонду</w:t>
      </w:r>
    </w:p>
    <w:p w14:paraId="39A7697E" w14:textId="77777777" w:rsidR="00612FE1" w:rsidRPr="00E962BE" w:rsidRDefault="00612FE1">
      <w:pPr>
        <w:pStyle w:val="1"/>
        <w:spacing w:after="0" w:line="240" w:lineRule="auto"/>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 xml:space="preserve">захисних споруд цивільного захисту, </w:t>
      </w:r>
    </w:p>
    <w:p w14:paraId="6686D286" w14:textId="77777777" w:rsidR="00612FE1" w:rsidRPr="00E962BE" w:rsidRDefault="00612FE1">
      <w:pPr>
        <w:pStyle w:val="1"/>
        <w:spacing w:after="0" w:line="240" w:lineRule="auto"/>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 xml:space="preserve">що належать до сфери управління або </w:t>
      </w:r>
    </w:p>
    <w:p w14:paraId="5D475105" w14:textId="77777777" w:rsidR="00612FE1" w:rsidRPr="00E962BE" w:rsidRDefault="00612FE1">
      <w:pPr>
        <w:pStyle w:val="1"/>
        <w:spacing w:after="0" w:line="240" w:lineRule="auto"/>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перебувають у власності Білгород-Дністровської міської ради</w:t>
      </w:r>
    </w:p>
    <w:p w14:paraId="13FC0DB4" w14:textId="77777777" w:rsidR="00612FE1" w:rsidRPr="00E962BE" w:rsidRDefault="00612FE1">
      <w:pPr>
        <w:pStyle w:val="1"/>
        <w:spacing w:after="200" w:line="276" w:lineRule="auto"/>
        <w:rPr>
          <w:rFonts w:ascii="Times" w:eastAsia="Times" w:hAnsi="Times"/>
          <w:sz w:val="28"/>
        </w:rPr>
      </w:pPr>
      <w:r w:rsidRPr="00E962BE">
        <w:rPr>
          <w:rFonts w:ascii="Times New Roman" w:eastAsia="Times New Roman" w:hAnsi="Times New Roman"/>
          <w:sz w:val="28"/>
        </w:rPr>
        <w:t xml:space="preserve"> </w:t>
      </w:r>
      <w:r w:rsidRPr="00E962BE">
        <w:rPr>
          <w:rFonts w:ascii="Times" w:eastAsia="Times" w:hAnsi="Times"/>
          <w:sz w:val="28"/>
        </w:rPr>
        <w:t xml:space="preserve"> </w:t>
      </w:r>
    </w:p>
    <w:p w14:paraId="47A6608C"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New Roman" w:eastAsia="Times New Roman" w:hAnsi="Times New Roman"/>
          <w:sz w:val="28"/>
        </w:rPr>
        <w:t xml:space="preserve"> </w:t>
      </w:r>
      <w:r w:rsidRPr="00E962BE">
        <w:rPr>
          <w:rFonts w:ascii="Times" w:eastAsia="Times" w:hAnsi="Times"/>
          <w:color w:val="333333"/>
          <w:sz w:val="28"/>
          <w:shd w:val="clear" w:color="auto" w:fill="FFFFFF"/>
        </w:rPr>
        <w:t xml:space="preserve">З метою організації використання об’єктів фонду захисних споруд цивільного захисту (далі ЗСЦЗ) відповідно до вимог пунктів 17, 18 статті 32 Кодексу Цивільного захисту України, статті 8 Закону України "Про правовий режим воєнного стану", Закону України від 09.01.2025 № 4200-IX «Про внесення змін до Кодексу України про адміністративні правопорушення та Кримінального кодексу України щодо запровадження відповідальності за порушення вимог щодо утримання та експлуатації об’єктів фонду захисних споруд цивільного захисту», розділу VI «Вимог щодо утримання, облаштування та експлуатації об'єктів фонду захисних споруд цивільного захисту», що затверджено наказом Міністерства внутрішніх справ України від 09.07.2018 </w:t>
      </w:r>
      <w:r w:rsidRPr="00E962BE">
        <w:rPr>
          <w:rFonts w:ascii="Times" w:eastAsia="Times" w:hAnsi="Times"/>
          <w:color w:val="333333"/>
          <w:sz w:val="28"/>
          <w:shd w:val="clear" w:color="auto" w:fill="FFFFFF"/>
        </w:rPr>
        <w:br/>
        <w:t xml:space="preserve"> № 579, зареєстровано в Міністерстві юстиції України 30.07.2018 за № 879/32331 (далі Вимоги), керуючись підпунктом 10 пункту а) частини першої статті 36</w:t>
      </w:r>
      <w:r w:rsidRPr="00E962BE">
        <w:rPr>
          <w:rFonts w:ascii="Times" w:eastAsia="Times" w:hAnsi="Times"/>
          <w:color w:val="333333"/>
          <w:sz w:val="28"/>
          <w:shd w:val="clear" w:color="auto" w:fill="FFFFFF"/>
          <w:vertAlign w:val="superscript"/>
        </w:rPr>
        <w:t>1</w:t>
      </w:r>
      <w:r w:rsidRPr="00E962BE">
        <w:rPr>
          <w:rFonts w:ascii="Times" w:eastAsia="Times" w:hAnsi="Times"/>
          <w:color w:val="333333"/>
          <w:sz w:val="28"/>
          <w:shd w:val="clear" w:color="auto" w:fill="FFFFFF"/>
        </w:rPr>
        <w:t>, частиною другою статті 42, частиною шостою статті 59 Закону України «Про місцеве самоврядування», виконавчий комітет</w:t>
      </w:r>
    </w:p>
    <w:p w14:paraId="54D2B080"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p>
    <w:p w14:paraId="31CA0FF1" w14:textId="77777777" w:rsidR="00612FE1" w:rsidRPr="00E962BE" w:rsidRDefault="00612FE1">
      <w:pPr>
        <w:pStyle w:val="1"/>
        <w:spacing w:after="0" w:line="240" w:lineRule="auto"/>
        <w:ind w:firstLine="9"/>
        <w:jc w:val="both"/>
        <w:rPr>
          <w:rFonts w:ascii="Times" w:eastAsia="Times" w:hAnsi="Times"/>
          <w:b/>
          <w:color w:val="333333"/>
          <w:sz w:val="28"/>
          <w:shd w:val="clear" w:color="auto" w:fill="FFFFFF"/>
        </w:rPr>
      </w:pPr>
      <w:r w:rsidRPr="00E962BE">
        <w:rPr>
          <w:rFonts w:ascii="Times New Roman" w:eastAsia="Times New Roman" w:hAnsi="Times New Roman"/>
          <w:b/>
          <w:sz w:val="28"/>
        </w:rPr>
        <w:t>В И Р І Ш И В:</w:t>
      </w:r>
    </w:p>
    <w:p w14:paraId="2FD26A8A" w14:textId="77777777" w:rsidR="00612FE1" w:rsidRPr="00E962BE" w:rsidRDefault="00612FE1">
      <w:pPr>
        <w:pStyle w:val="1"/>
        <w:spacing w:after="0" w:line="240" w:lineRule="auto"/>
        <w:ind w:firstLine="567"/>
        <w:jc w:val="both"/>
        <w:rPr>
          <w:rFonts w:ascii="Times" w:eastAsia="Times" w:hAnsi="Times"/>
          <w:sz w:val="28"/>
        </w:rPr>
      </w:pPr>
      <w:r w:rsidRPr="00E962BE">
        <w:rPr>
          <w:rFonts w:ascii="Times New Roman" w:eastAsia="Times New Roman" w:hAnsi="Times New Roman"/>
          <w:sz w:val="28"/>
        </w:rPr>
        <w:t xml:space="preserve"> </w:t>
      </w:r>
      <w:r w:rsidRPr="00E962BE">
        <w:rPr>
          <w:rFonts w:ascii="Times" w:eastAsia="Times" w:hAnsi="Times"/>
          <w:sz w:val="28"/>
        </w:rPr>
        <w:t xml:space="preserve"> </w:t>
      </w:r>
    </w:p>
    <w:p w14:paraId="364E0FBE"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1. Встановити цілодобовий режим роботи ЗСЦЗ на території міста.</w:t>
      </w:r>
    </w:p>
    <w:p w14:paraId="6BBEBD2B"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2. Балансоутримувачам ЗСЦЗ</w:t>
      </w:r>
    </w:p>
    <w:p w14:paraId="0F6C0FF6"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забезпечити безперешкодний доступ населення, зокрема маломобільного, до ЗСЦЗ під час оголошення сигналів цивільного захисту;</w:t>
      </w:r>
    </w:p>
    <w:p w14:paraId="3FAD153A"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призначити відповідальних за утримання та експлуатацію ЗСЦЗ, організувати цілодобове чергування персоналу;</w:t>
      </w:r>
    </w:p>
    <w:p w14:paraId="6E142922"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привести таблички позначення об’єктів фонду ЗСЦЗ та покажчиків маршруту до них у відповідність до Додатку 1</w:t>
      </w:r>
      <w:r w:rsidRPr="00E962BE">
        <w:rPr>
          <w:rFonts w:ascii="Times New Roman" w:eastAsia="Times New Roman" w:hAnsi="Times New Roman"/>
          <w:color w:val="333333"/>
          <w:sz w:val="28"/>
          <w:shd w:val="clear" w:color="auto" w:fill="FFFFFF"/>
        </w:rPr>
        <w:t xml:space="preserve"> </w:t>
      </w:r>
      <w:r w:rsidRPr="00E962BE">
        <w:rPr>
          <w:rFonts w:ascii="Times" w:eastAsia="Times" w:hAnsi="Times"/>
          <w:color w:val="333333"/>
          <w:sz w:val="28"/>
          <w:shd w:val="clear" w:color="auto" w:fill="FFFFFF"/>
        </w:rPr>
        <w:t>Вимог;</w:t>
      </w:r>
    </w:p>
    <w:p w14:paraId="167B001B"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організувати життєзабезпечення населення, що укривається в об’єктах фонду ЗСЦЗ;</w:t>
      </w:r>
    </w:p>
    <w:p w14:paraId="07BFBDF0"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lastRenderedPageBreak/>
        <w:t>постійно підтримувати ЗСЦЗ у готовності до використання за призначенням, відповідно до Вимог.</w:t>
      </w:r>
    </w:p>
    <w:p w14:paraId="61E66784"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3. Покласти персональну відповідальність, відповідно до закону,  за порушення вимог щодо утримання у готовності до використання за призначенням та експлуатації об’єктів фонду ЗСЦЗ, що знаходяться в комунальної власності, на директора Комунального підприємства «ЖЕО-1» Руслана КУКУРУДЗУ та начальника Управління освіти Олену ПРИНЦ, керівників закладів освіти, установ, організацій, на балансі яких перебувають таки об’єкти.</w:t>
      </w:r>
    </w:p>
    <w:p w14:paraId="5F1E3028"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4. Відділу з питань цивільного захисту та надзвичайних ситуацій організувати здійснення контролю за станом утримання ЗСЦЗ та готовності їх до використання за призначенням та підтримкою в належному технічному стані.</w:t>
      </w:r>
    </w:p>
    <w:p w14:paraId="242A5C61"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5. Відповідальність за виконання даного рішення покласти на начальника відділу з питань цивільного захисту та надзвичайних ситуацій міської ради Михайла ЛАВРИКА</w:t>
      </w:r>
    </w:p>
    <w:p w14:paraId="0826B3A8" w14:textId="77777777" w:rsidR="00612FE1" w:rsidRPr="00E962BE" w:rsidRDefault="00612FE1">
      <w:pPr>
        <w:pStyle w:val="1"/>
        <w:spacing w:after="0" w:line="240" w:lineRule="auto"/>
        <w:ind w:firstLine="567"/>
        <w:jc w:val="both"/>
        <w:rPr>
          <w:rFonts w:ascii="Times" w:eastAsia="Times" w:hAnsi="Times"/>
          <w:color w:val="333333"/>
          <w:sz w:val="28"/>
          <w:shd w:val="clear" w:color="auto" w:fill="FFFFFF"/>
        </w:rPr>
      </w:pPr>
      <w:r w:rsidRPr="00E962BE">
        <w:rPr>
          <w:rFonts w:ascii="Times" w:eastAsia="Times" w:hAnsi="Times"/>
          <w:color w:val="333333"/>
          <w:sz w:val="28"/>
          <w:shd w:val="clear" w:color="auto" w:fill="FFFFFF"/>
        </w:rPr>
        <w:t>6. Контроль за виконанням рішення покласти на заступника міського голови з питань діяльності виконавчих органів Андрія КРИШТОПОВА.</w:t>
      </w:r>
    </w:p>
    <w:p w14:paraId="4FC6F345" w14:textId="77777777" w:rsidR="00612FE1" w:rsidRPr="00E962BE" w:rsidRDefault="00612FE1" w:rsidP="00E962BE">
      <w:pPr>
        <w:pStyle w:val="1"/>
        <w:spacing w:after="0" w:line="240" w:lineRule="auto"/>
        <w:ind w:firstLine="567"/>
        <w:jc w:val="both"/>
        <w:rPr>
          <w:rFonts w:ascii="Times" w:eastAsia="Times" w:hAnsi="Times"/>
          <w:sz w:val="28"/>
        </w:rPr>
      </w:pPr>
      <w:r w:rsidRPr="00E962BE">
        <w:rPr>
          <w:rFonts w:ascii="Times New Roman" w:eastAsia="Times New Roman" w:hAnsi="Times New Roman"/>
          <w:sz w:val="28"/>
        </w:rPr>
        <w:t xml:space="preserve"> </w:t>
      </w:r>
      <w:r w:rsidRPr="00E962BE">
        <w:rPr>
          <w:rFonts w:ascii="Times" w:eastAsia="Times" w:hAnsi="Times"/>
          <w:sz w:val="28"/>
        </w:rPr>
        <w:t xml:space="preserve"> </w:t>
      </w:r>
    </w:p>
    <w:p w14:paraId="1E6F8399" w14:textId="77777777" w:rsidR="00612FE1" w:rsidRPr="00E962BE" w:rsidRDefault="00612FE1" w:rsidP="00E962BE">
      <w:pPr>
        <w:pStyle w:val="1"/>
        <w:spacing w:after="0" w:line="240" w:lineRule="auto"/>
        <w:ind w:firstLine="567"/>
        <w:jc w:val="both"/>
        <w:rPr>
          <w:rFonts w:ascii="Times" w:eastAsia="Times" w:hAnsi="Times"/>
          <w:sz w:val="28"/>
        </w:rPr>
      </w:pPr>
      <w:r w:rsidRPr="00E962BE">
        <w:rPr>
          <w:rFonts w:ascii="Times New Roman" w:eastAsia="Times New Roman" w:hAnsi="Times New Roman"/>
          <w:sz w:val="28"/>
        </w:rPr>
        <w:t xml:space="preserve"> </w:t>
      </w:r>
      <w:r w:rsidRPr="00E962BE">
        <w:rPr>
          <w:rFonts w:ascii="Times" w:eastAsia="Times" w:hAnsi="Times"/>
          <w:sz w:val="28"/>
        </w:rPr>
        <w:t xml:space="preserve"> </w:t>
      </w:r>
    </w:p>
    <w:p w14:paraId="37183CC7" w14:textId="77777777" w:rsidR="00612FE1" w:rsidRPr="00E962BE" w:rsidRDefault="00E962BE" w:rsidP="00E962BE">
      <w:pPr>
        <w:pStyle w:val="1"/>
        <w:spacing w:after="0" w:line="240" w:lineRule="auto"/>
        <w:jc w:val="both"/>
        <w:rPr>
          <w:rFonts w:ascii="Times New Roman" w:eastAsia="Times New Roman" w:hAnsi="Times New Roman"/>
          <w:sz w:val="28"/>
        </w:rPr>
      </w:pPr>
      <w:r w:rsidRPr="00E962BE">
        <w:rPr>
          <w:rFonts w:ascii="Times New Roman" w:eastAsia="Times New Roman" w:hAnsi="Times New Roman"/>
          <w:sz w:val="28"/>
        </w:rPr>
        <w:t>Секретар міської ради</w:t>
      </w:r>
      <w:r w:rsidR="00612FE1" w:rsidRPr="00E962BE">
        <w:rPr>
          <w:rFonts w:ascii="Times New Roman" w:eastAsia="Times New Roman" w:hAnsi="Times New Roman"/>
          <w:sz w:val="28"/>
        </w:rPr>
        <w:t xml:space="preserve"> </w:t>
      </w:r>
      <w:r w:rsidR="00612FE1" w:rsidRPr="00E962BE">
        <w:rPr>
          <w:rFonts w:ascii="Times" w:eastAsia="Times" w:hAnsi="Times"/>
          <w:sz w:val="28"/>
        </w:rPr>
        <w:t xml:space="preserve"> </w:t>
      </w:r>
      <w:r w:rsidRPr="00E962BE">
        <w:rPr>
          <w:rFonts w:ascii="Times" w:eastAsia="Times" w:hAnsi="Times"/>
          <w:sz w:val="28"/>
        </w:rPr>
        <w:t xml:space="preserve">                                                        Олександр СКАЛОЗУБ</w:t>
      </w:r>
    </w:p>
    <w:p w14:paraId="37E080F9" w14:textId="77777777" w:rsidR="00612FE1" w:rsidRPr="00E962BE" w:rsidRDefault="00612FE1">
      <w:pPr>
        <w:pStyle w:val="1"/>
        <w:jc w:val="both"/>
        <w:rPr>
          <w:rFonts w:ascii="Times New Roman" w:eastAsia="Times New Roman" w:hAnsi="Times New Roman"/>
          <w:sz w:val="28"/>
        </w:rPr>
      </w:pPr>
      <w:r w:rsidRPr="00E962BE">
        <w:rPr>
          <w:rFonts w:ascii="Times New Roman" w:eastAsia="Times New Roman" w:hAnsi="Times New Roman"/>
          <w:sz w:val="28"/>
        </w:rPr>
        <w:t xml:space="preserve">  </w:t>
      </w:r>
      <w:r w:rsidRPr="00E962BE">
        <w:rPr>
          <w:rFonts w:ascii="Times New Roman" w:eastAsia="Times New Roman" w:hAnsi="Times New Roman"/>
          <w:sz w:val="28"/>
        </w:rPr>
        <w:br/>
      </w:r>
    </w:p>
    <w:sectPr w:rsidR="00612FE1" w:rsidRPr="00E962BE">
      <w:pgSz w:w="11907" w:h="16839"/>
      <w:pgMar w:top="1134" w:right="567" w:bottom="850"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3C655E5"/>
    <w:lvl w:ilvl="0">
      <w:start w:val="1"/>
      <w:numFmt w:val="decimal"/>
      <w:lvlText w:val="%1."/>
      <w:lvlJc w:val="left"/>
      <w:pPr>
        <w:ind w:left="720" w:hanging="354"/>
      </w:pPr>
    </w:lvl>
    <w:lvl w:ilvl="1">
      <w:start w:val="1"/>
      <w:numFmt w:val="decimal"/>
      <w:lvlText w:val="%2."/>
      <w:lvlJc w:val="left"/>
      <w:pPr>
        <w:ind w:left="1440" w:hanging="354"/>
      </w:pPr>
    </w:lvl>
    <w:lvl w:ilvl="2">
      <w:start w:val="1"/>
      <w:numFmt w:val="decimal"/>
      <w:lvlText w:val="%3."/>
      <w:lvlJc w:val="left"/>
      <w:pPr>
        <w:ind w:left="2160" w:hanging="354"/>
      </w:pPr>
    </w:lvl>
    <w:lvl w:ilvl="3">
      <w:start w:val="1"/>
      <w:numFmt w:val="decimal"/>
      <w:lvlText w:val="%4."/>
      <w:lvlJc w:val="left"/>
      <w:pPr>
        <w:ind w:left="2880" w:hanging="354"/>
      </w:pPr>
    </w:lvl>
    <w:lvl w:ilvl="4">
      <w:start w:val="1"/>
      <w:numFmt w:val="decimal"/>
      <w:lvlText w:val="%5."/>
      <w:lvlJc w:val="left"/>
      <w:pPr>
        <w:ind w:left="3600" w:hanging="354"/>
      </w:pPr>
    </w:lvl>
    <w:lvl w:ilvl="5">
      <w:start w:val="1"/>
      <w:numFmt w:val="decimal"/>
      <w:lvlText w:val="%6."/>
      <w:lvlJc w:val="left"/>
      <w:pPr>
        <w:ind w:left="4320" w:hanging="354"/>
      </w:pPr>
    </w:lvl>
    <w:lvl w:ilvl="6">
      <w:start w:val="1"/>
      <w:numFmt w:val="decimal"/>
      <w:lvlText w:val="%7."/>
      <w:lvlJc w:val="left"/>
      <w:pPr>
        <w:ind w:left="5040" w:hanging="354"/>
      </w:pPr>
    </w:lvl>
    <w:lvl w:ilvl="7">
      <w:start w:val="1"/>
      <w:numFmt w:val="decimal"/>
      <w:lvlText w:val="%8."/>
      <w:lvlJc w:val="left"/>
      <w:pPr>
        <w:ind w:left="5760" w:hanging="354"/>
      </w:pPr>
    </w:lvl>
    <w:lvl w:ilvl="8">
      <w:start w:val="1"/>
      <w:numFmt w:val="decimal"/>
      <w:lvlText w:val="%9."/>
      <w:lvlJc w:val="left"/>
      <w:pPr>
        <w:ind w:left="6480" w:hanging="354"/>
      </w:pPr>
    </w:lvl>
  </w:abstractNum>
  <w:abstractNum w:abstractNumId="1" w15:restartNumberingAfterBreak="0">
    <w:nsid w:val="00000002"/>
    <w:multiLevelType w:val="multilevel"/>
    <w:tmpl w:val="00E1CF54"/>
    <w:lvl w:ilvl="0">
      <w:start w:val="1"/>
      <w:numFmt w:val="decimal"/>
      <w:lvlText w:val="%1."/>
      <w:lvlJc w:val="left"/>
      <w:pPr>
        <w:ind w:left="1440" w:hanging="354"/>
      </w:pPr>
    </w:lvl>
    <w:lvl w:ilvl="1">
      <w:start w:val="1"/>
      <w:numFmt w:val="decimal"/>
      <w:lvlText w:val="%2."/>
      <w:lvlJc w:val="left"/>
      <w:pPr>
        <w:ind w:left="2160" w:hanging="354"/>
      </w:pPr>
    </w:lvl>
    <w:lvl w:ilvl="2">
      <w:start w:val="1"/>
      <w:numFmt w:val="decimal"/>
      <w:lvlText w:val="%3."/>
      <w:lvlJc w:val="left"/>
      <w:pPr>
        <w:ind w:left="2880" w:hanging="354"/>
      </w:pPr>
    </w:lvl>
    <w:lvl w:ilvl="3">
      <w:start w:val="1"/>
      <w:numFmt w:val="decimal"/>
      <w:lvlText w:val="%4."/>
      <w:lvlJc w:val="left"/>
      <w:pPr>
        <w:ind w:left="3600" w:hanging="354"/>
      </w:pPr>
    </w:lvl>
    <w:lvl w:ilvl="4">
      <w:start w:val="1"/>
      <w:numFmt w:val="decimal"/>
      <w:lvlText w:val="%5."/>
      <w:lvlJc w:val="left"/>
      <w:pPr>
        <w:ind w:left="4320" w:hanging="354"/>
      </w:pPr>
    </w:lvl>
    <w:lvl w:ilvl="5">
      <w:start w:val="1"/>
      <w:numFmt w:val="decimal"/>
      <w:lvlText w:val="%6."/>
      <w:lvlJc w:val="left"/>
      <w:pPr>
        <w:ind w:left="5040" w:hanging="354"/>
      </w:pPr>
    </w:lvl>
    <w:lvl w:ilvl="6">
      <w:start w:val="1"/>
      <w:numFmt w:val="decimal"/>
      <w:lvlText w:val="%7."/>
      <w:lvlJc w:val="left"/>
      <w:pPr>
        <w:ind w:left="5760" w:hanging="354"/>
      </w:pPr>
    </w:lvl>
    <w:lvl w:ilvl="7">
      <w:start w:val="1"/>
      <w:numFmt w:val="decimal"/>
      <w:lvlText w:val="%8."/>
      <w:lvlJc w:val="left"/>
      <w:pPr>
        <w:ind w:left="6480" w:hanging="354"/>
      </w:pPr>
    </w:lvl>
    <w:lvl w:ilvl="8">
      <w:start w:val="1"/>
      <w:numFmt w:val="decimal"/>
      <w:lvlText w:val="%9."/>
      <w:lvlJc w:val="left"/>
      <w:pPr>
        <w:ind w:left="7200" w:hanging="354"/>
      </w:pPr>
    </w:lvl>
  </w:abstractNum>
  <w:num w:numId="1" w16cid:durableId="258754071">
    <w:abstractNumId w:val="0"/>
  </w:num>
  <w:num w:numId="2" w16cid:durableId="78481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compat>
    <w:spaceForUL/>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BE"/>
    <w:rsid w:val="00612FE1"/>
    <w:rsid w:val="00BC3115"/>
    <w:rsid w:val="00E962B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8A2FB85"/>
  <w15:chartTrackingRefBased/>
  <w15:docId w15:val="{779E1C9E-0778-4679-9EB0-90D2A2A5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u-UA" w:eastAsia="ru-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9" w:qFormat="1"/>
    <w:lsdException w:name="footnote text" w:uiPriority="9" w:qFormat="1"/>
    <w:lsdException w:name="annotation text" w:uiPriority="9" w:qFormat="1"/>
    <w:lsdException w:name="header" w:uiPriority="9" w:qFormat="1"/>
    <w:lsdException w:name="footer" w:uiPriority="9" w:qFormat="1"/>
    <w:lsdException w:name="index heading" w:uiPriority="9" w:qFormat="1"/>
    <w:lsdException w:name="caption" w:semiHidden="1" w:uiPriority="9" w:unhideWhenUsed="1" w:qFormat="1"/>
    <w:lsdException w:name="table of figures" w:uiPriority="9" w:qFormat="1"/>
    <w:lsdException w:name="envelope address" w:uiPriority="9" w:qFormat="1"/>
    <w:lsdException w:name="envelope return" w:uiPriority="9" w:qFormat="1"/>
    <w:lsdException w:name="footnote reference" w:uiPriority="9" w:qFormat="1"/>
    <w:lsdException w:name="annotation reference" w:uiPriority="9" w:qFormat="1"/>
    <w:lsdException w:name="line number" w:uiPriority="9" w:qFormat="1"/>
    <w:lsdException w:name="page number" w:uiPriority="9" w:qFormat="1"/>
    <w:lsdException w:name="endnote reference" w:uiPriority="9" w:qFormat="1"/>
    <w:lsdException w:name="endnote text" w:uiPriority="9" w:qFormat="1"/>
    <w:lsdException w:name="table of authorities" w:uiPriority="9" w:qFormat="1"/>
    <w:lsdException w:name="macro" w:uiPriority="9" w:qFormat="1"/>
    <w:lsdException w:name="toa heading" w:uiPriority="9" w:qFormat="1"/>
    <w:lsdException w:name="List" w:uiPriority="9" w:qFormat="1"/>
    <w:lsdException w:name="List Bullet" w:uiPriority="9" w:qFormat="1"/>
    <w:lsdException w:name="List Number" w:uiPriority="9" w:qFormat="1"/>
    <w:lsdException w:name="List 2" w:uiPriority="9" w:qFormat="1"/>
    <w:lsdException w:name="List 3" w:uiPriority="9" w:qFormat="1"/>
    <w:lsdException w:name="List 4" w:uiPriority="9" w:qFormat="1"/>
    <w:lsdException w:name="List 5" w:uiPriority="9" w:qFormat="1"/>
    <w:lsdException w:name="List Bullet 2" w:uiPriority="9" w:qFormat="1"/>
    <w:lsdException w:name="List Bullet 3" w:uiPriority="9" w:qFormat="1"/>
    <w:lsdException w:name="List Bullet 4" w:uiPriority="9" w:qFormat="1"/>
    <w:lsdException w:name="List Bullet 5" w:uiPriority="9" w:qFormat="1"/>
    <w:lsdException w:name="List Number 2" w:uiPriority="9" w:qFormat="1"/>
    <w:lsdException w:name="List Number 3" w:uiPriority="9" w:qFormat="1"/>
    <w:lsdException w:name="List Number 4" w:uiPriority="9" w:qFormat="1"/>
    <w:lsdException w:name="List Number 5" w:uiPriority="9"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pBdr>
        <w:top w:val="nil"/>
        <w:left w:val="nil"/>
        <w:bottom w:val="nil"/>
        <w:right w:val="nil"/>
        <w:between w:val="nil"/>
      </w:pBdr>
    </w:pPr>
    <w:rPr>
      <w:sz w:val="22"/>
      <w:lang w:val="ru-RU" w:eastAsia="ru-RU"/>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next w:val="a"/>
  </w:style>
  <w:style w:type="paragraph" w:customStyle="1" w:styleId="1">
    <w:name w:val="Звичайний1"/>
    <w:qFormat/>
    <w:pPr>
      <w:pBdr>
        <w:top w:val="nil"/>
        <w:left w:val="nil"/>
        <w:bottom w:val="nil"/>
        <w:right w:val="nil"/>
        <w:between w:val="nil"/>
      </w:pBdr>
      <w:spacing w:after="160" w:line="259" w:lineRule="auto"/>
    </w:pPr>
    <w:rPr>
      <w:sz w:val="22"/>
      <w:lang w:val="uk-UA" w:eastAsia="ru-RU"/>
    </w:rPr>
  </w:style>
  <w:style w:type="paragraph" w:customStyle="1" w:styleId="10">
    <w:name w:val="Без інтервалів1"/>
    <w:qFormat/>
    <w:pPr>
      <w:pBdr>
        <w:top w:val="nil"/>
        <w:left w:val="nil"/>
        <w:bottom w:val="nil"/>
        <w:right w:val="nil"/>
        <w:between w:val="nil"/>
      </w:pBdr>
    </w:pPr>
    <w:rPr>
      <w:sz w:val="22"/>
      <w:lang w:val="ru-RU" w:eastAsia="ru-RU"/>
    </w:rPr>
  </w:style>
  <w:style w:type="paragraph" w:customStyle="1" w:styleId="Standard">
    <w:name w:val="Standard"/>
    <w:pPr>
      <w:widowControl w:val="0"/>
      <w:pBdr>
        <w:top w:val="nil"/>
        <w:left w:val="nil"/>
        <w:bottom w:val="nil"/>
        <w:right w:val="nil"/>
        <w:between w:val="nil"/>
      </w:pBdr>
      <w:suppressAutoHyphens/>
    </w:pPr>
    <w:rPr>
      <w:rFonts w:ascii="Liberation Serif" w:eastAsia="Liberation Serif" w:hAnsi="Liberation Serif"/>
      <w:color w:val="000000"/>
      <w:kern w:val="3"/>
      <w:sz w:val="24"/>
      <w:lang w:val="ru-RU" w:eastAsia="ru-RU"/>
    </w:rPr>
  </w:style>
  <w:style w:type="paragraph" w:customStyle="1" w:styleId="11">
    <w:name w:val="Основний текст1"/>
    <w:basedOn w:val="1"/>
    <w:pPr>
      <w:widowControl w:val="0"/>
      <w:suppressAutoHyphens/>
      <w:spacing w:after="120" w:line="240" w:lineRule="auto"/>
    </w:pPr>
    <w:rPr>
      <w:rFonts w:ascii="Times New Roman" w:eastAsia="Times New Roman" w:hAnsi="Times New Roman"/>
      <w:kern w:val="2"/>
      <w:sz w:val="24"/>
    </w:rPr>
  </w:style>
  <w:style w:type="character" w:customStyle="1" w:styleId="LineNumber">
    <w:name w:val="Line Number"/>
    <w:basedOn w:val="a0"/>
  </w:style>
  <w:style w:type="character" w:customStyle="1" w:styleId="Hyperlink">
    <w:name w:val="Hyperlink"/>
    <w:rPr>
      <w:color w:val="0000FF"/>
      <w:u w:val="single"/>
    </w:rPr>
  </w:style>
  <w:style w:type="character" w:customStyle="1" w:styleId="12">
    <w:name w:val="Строгий1"/>
    <w:qFormat/>
    <w:rPr>
      <w:b/>
    </w:rPr>
  </w:style>
  <w:style w:type="character" w:customStyle="1" w:styleId="a3">
    <w:name w:val="Основний текст Знак"/>
    <w:rPr>
      <w:rFonts w:ascii="Times New Roman" w:eastAsia="Times New Roman" w:hAnsi="Times New Roman"/>
      <w:kern w:val="2"/>
      <w:sz w:val="24"/>
    </w:rPr>
  </w:style>
  <w:style w:type="table" w:customStyle="1" w:styleId="NormalTable">
    <w:name w:val="Normal Table"/>
    <w:rPr>
      <w:lang w:val="ru-RU" w:eastAsia="ru-RU"/>
    </w:rPr>
    <w:tblPr>
      <w:tblInd w:w="0" w:type="dxa"/>
      <w:tblCellMar>
        <w:top w:w="0" w:type="dxa"/>
        <w:left w:w="108" w:type="dxa"/>
        <w:bottom w:w="0" w:type="dxa"/>
        <w:right w:w="108" w:type="dxa"/>
      </w:tblCellMar>
    </w:tblPr>
  </w:style>
  <w:style w:type="table" w:customStyle="1" w:styleId="TableSimple1">
    <w:name w:val="Table Simple 1"/>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Звичайна таблиця1"/>
    <w:qFormat/>
    <w:rPr>
      <w:lang w:val="ru-RU" w:eastAsia="ru-RU"/>
    </w:rPr>
    <w:tblPr>
      <w:tblInd w:w="0" w:type="dxa"/>
      <w:tblCellMar>
        <w:top w:w="0" w:type="dxa"/>
        <w:left w:w="108" w:type="dxa"/>
        <w:bottom w:w="0" w:type="dxa"/>
        <w:right w:w="108" w:type="dxa"/>
      </w:tblCellMar>
    </w:tblPr>
  </w:style>
  <w:style w:type="table" w:customStyle="1" w:styleId="14">
    <w:name w:val="Сітка таблиці1"/>
    <w:basedOn w:val="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2530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Ihor Velychko</cp:lastModifiedBy>
  <cp:revision>2</cp:revision>
  <cp:lastPrinted>2023-10-11T12:22:00Z</cp:lastPrinted>
  <dcterms:created xsi:type="dcterms:W3CDTF">2025-12-17T12:58:00Z</dcterms:created>
  <dcterms:modified xsi:type="dcterms:W3CDTF">2025-12-17T12:58:00Z</dcterms:modified>
</cp:coreProperties>
</file>