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keepNext/>
        <w:outlineLvl w:val="2"/>
        <w:rPr>
          <w:b/>
          <w:color w:val="000000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en-us"/>
        </w:rPr>
      </w:r>
      <w:r>
        <w:rPr>
          <w:noProof/>
        </w:rPr>
        <w:drawing>
          <wp:inline distT="0" distB="0" distL="0" distR="0">
            <wp:extent cx="504825" cy="676275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extLst>
                        <a:ext uri="smNativeData">
                          <sm:smNativeData xmlns:sm="smNativeData" val="SMDATA_14_CRhJaRMAAAAlAAAAEQ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bAwAAKQQ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  <w:lang w:val="en-us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spacing w:before="120" w:after="120" w:line="360" w:lineRule="auto"/>
        <w:jc w:val="center"/>
        <w:keepNext/>
        <w:tabs defTabSz="709">
          <w:tab w:val="left" w:pos="993" w:leader="none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БІЛГОРОД-ДНІСТРОВСЬКА МІСЬКА РАДА</w:t>
      </w:r>
    </w:p>
    <w:p>
      <w:pPr>
        <w:spacing/>
        <w:jc w:val="center"/>
        <w:keepNext/>
        <w:outlineLvl w:val="0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Р І Ш Е Н Н Я</w:t>
      </w: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Style w:val="TableNormal"/>
        <w:name w:val="Table1"/>
        <w:tabOrder w:val="0"/>
        <w:jc w:val="left"/>
        <w:tblInd w:w="-34" w:type="dxa"/>
        <w:tblW w:w="9673" w:type="dxa"/>
        <w:tblLook w:val="04A0" w:firstRow="1" w:lastRow="0" w:firstColumn="1" w:lastColumn="0" w:noHBand="0" w:noVBand="1"/>
      </w:tblPr>
      <w:tblGrid>
        <w:gridCol w:w="3582"/>
        <w:gridCol w:w="2728"/>
        <w:gridCol w:w="3363"/>
      </w:tblGrid>
      <w:tr>
        <w:trPr>
          <w:cantSplit w:val="0"/>
          <w:trHeight w:val="620" w:hRule="atLeast"/>
        </w:trPr>
        <w:tc>
          <w:tcPr>
            <w:tcW w:w="3582" w:type="dxa"/>
            <w:tmTcPr id="1766397961" protected="0"/>
          </w:tcPr>
          <w:p>
            <w:pPr>
              <w:spacing w:before="120"/>
              <w:rPr>
                <w:b/>
                <w:lang w:val="uk-ua"/>
              </w:rPr>
            </w:pPr>
            <w:r/>
            <w:bookmarkStart w:id="0" w:name="_Hlk81815838"/>
            <w:bookmarkEnd w:id="0"/>
            <w:r/>
            <w:r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.12.2</w:t>
            </w:r>
            <w:r>
              <w:rPr>
                <w:lang w:val="uk-ua"/>
              </w:rPr>
              <w:t>025 р.</w:t>
            </w:r>
            <w:r>
              <w:rPr>
                <w:b/>
                <w:lang w:val="uk-ua"/>
              </w:rPr>
            </w:r>
          </w:p>
        </w:tc>
        <w:tc>
          <w:tcPr>
            <w:tcW w:w="2728" w:type="dxa"/>
            <w:tmTcPr id="1766397961" protected="0"/>
          </w:tcPr>
          <w:p>
            <w:pPr>
              <w:spacing w:before="1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3363" w:type="dxa"/>
            <w:tmTcPr id="1766397961" protected="0"/>
          </w:tcPr>
          <w:p>
            <w:pPr>
              <w:ind w:firstLine="567"/>
              <w:spacing w:before="120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     № 1783-VIII</w:t>
            </w:r>
            <w:r>
              <w:rPr>
                <w:b/>
                <w:lang w:val="uk-ua"/>
              </w:rPr>
            </w:r>
          </w:p>
        </w:tc>
      </w:tr>
    </w:tbl>
    <w:p>
      <w:pPr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внесення змін до договору оренди та оголошення </w:t>
      </w:r>
    </w:p>
    <w:p>
      <w:pPr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аукціону за результатами якого чинний догові</w:t>
      </w:r>
      <w:r>
        <w:rPr>
          <w:sz w:val="26"/>
          <w:szCs w:val="26"/>
          <w:lang w:val="uk-ua"/>
        </w:rPr>
        <w:t>р</w:t>
      </w:r>
      <w:r>
        <w:rPr>
          <w:sz w:val="26"/>
          <w:szCs w:val="26"/>
          <w:lang w:val="uk-ua"/>
        </w:rPr>
      </w:r>
    </w:p>
    <w:p>
      <w:pPr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оренди може бути продовжений з існуючим</w:t>
      </w:r>
    </w:p>
    <w:p>
      <w:pPr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орендарем, або укладений з новим орендарем</w:t>
      </w:r>
    </w:p>
    <w:p>
      <w:pPr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</w:t>
      </w:r>
    </w:p>
    <w:p>
      <w:pPr>
        <w:ind w:firstLine="709"/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Розглянувши заяви орендаря майна комунальної власності </w:t>
      </w:r>
      <w:r>
        <w:rPr>
          <w:sz w:val="26"/>
          <w:szCs w:val="26"/>
          <w:lang w:val="uk-ua"/>
        </w:rPr>
        <w:t>ТОВ «Телекомпанія «</w:t>
      </w:r>
      <w:r>
        <w:rPr>
          <w:sz w:val="26"/>
          <w:szCs w:val="26"/>
          <w:lang w:val="uk-ua"/>
        </w:rPr>
        <w:t>ЛіС</w:t>
      </w:r>
      <w:r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№ 09-61/</w:t>
      </w:r>
      <w:r>
        <w:rPr>
          <w:sz w:val="26"/>
          <w:szCs w:val="26"/>
          <w:lang w:val="uk-ua"/>
        </w:rPr>
        <w:t>23</w:t>
      </w:r>
      <w:r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>13</w:t>
      </w:r>
      <w:r>
        <w:rPr>
          <w:sz w:val="26"/>
          <w:szCs w:val="26"/>
          <w:lang w:val="uk-ua"/>
        </w:rPr>
        <w:t xml:space="preserve"> від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07</w:t>
      </w:r>
      <w:r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.2025 р.</w:t>
      </w:r>
      <w:r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№ 13 від 25.11.2025 р.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керуючись </w:t>
      </w:r>
      <w:r>
        <w:rPr>
          <w:sz w:val="26"/>
          <w:szCs w:val="26"/>
          <w:lang w:val="uk-ua"/>
        </w:rPr>
        <w:t xml:space="preserve">абзацом третім частини четвертої статті 16, </w:t>
      </w:r>
      <w:r>
        <w:rPr>
          <w:sz w:val="26"/>
          <w:szCs w:val="26"/>
          <w:lang w:val="uk-ua"/>
        </w:rPr>
        <w:t>статтею</w:t>
      </w:r>
      <w:r>
        <w:rPr>
          <w:sz w:val="26"/>
          <w:szCs w:val="26"/>
          <w:lang w:val="uk-ua"/>
        </w:rPr>
        <w:t xml:space="preserve"> 18</w:t>
      </w:r>
      <w:r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>
        <w:rPr>
          <w:color w:val="333333"/>
          <w:sz w:val="27"/>
          <w:szCs w:val="27"/>
          <w:shd w:val="clear" w:fill="ffffff"/>
          <w:lang w:val="uk-ua"/>
        </w:rPr>
        <w:t xml:space="preserve">частиною </w:t>
      </w:r>
      <w:r>
        <w:rPr>
          <w:color w:val="333333"/>
          <w:sz w:val="27"/>
          <w:szCs w:val="27"/>
          <w:shd w:val="clear" w:fill="ffffff"/>
          <w:lang w:val="uk-ua"/>
        </w:rPr>
        <w:t xml:space="preserve">четвертою </w:t>
      </w:r>
      <w:r>
        <w:rPr>
          <w:color w:val="333333"/>
          <w:sz w:val="27"/>
          <w:szCs w:val="27"/>
          <w:shd w:val="clear" w:fill="ffffff"/>
          <w:lang w:val="uk-ua"/>
        </w:rPr>
        <w:t>статті 9, частиною першою статті 16</w:t>
      </w:r>
      <w:r>
        <w:rPr>
          <w:color w:val="333333"/>
          <w:sz w:val="27"/>
          <w:szCs w:val="27"/>
          <w:shd w:val="clear" w:fill="ffffff"/>
          <w:lang w:val="uk-ua"/>
        </w:rPr>
        <w:t xml:space="preserve"> </w:t>
      </w:r>
      <w:r>
        <w:rPr>
          <w:color w:val="333333"/>
          <w:sz w:val="27"/>
          <w:szCs w:val="27"/>
          <w:shd w:val="clear" w:fill="ffffff"/>
          <w:lang w:val="uk-ua"/>
        </w:rPr>
        <w:t xml:space="preserve">Закону України </w:t>
      </w:r>
      <w:r>
        <w:rPr>
          <w:color w:val="333333"/>
          <w:sz w:val="27"/>
          <w:szCs w:val="27"/>
          <w:shd w:val="clear" w:fill="ffffff"/>
          <w:lang w:val="uk-ua"/>
        </w:rPr>
        <w:t>«</w:t>
      </w:r>
      <w:r>
        <w:rPr>
          <w:color w:val="333333"/>
          <w:sz w:val="27"/>
          <w:szCs w:val="27"/>
          <w:shd w:val="clear" w:fill="ffffff"/>
          <w:lang w:val="uk-ua"/>
        </w:rPr>
        <w:t>Про оренду державного та комунального майна»,</w:t>
      </w:r>
      <w:r>
        <w:rPr>
          <w:color w:val="333333"/>
          <w:sz w:val="27"/>
          <w:szCs w:val="27"/>
          <w:shd w:val="clear" w:fill="ffffff"/>
          <w:lang w:val="uk-ua"/>
        </w:rPr>
        <w:t xml:space="preserve"> </w:t>
      </w:r>
      <w:r>
        <w:rPr>
          <w:color w:val="333333"/>
          <w:sz w:val="27"/>
          <w:szCs w:val="27"/>
          <w:shd w:val="clear" w:fill="ffffff"/>
          <w:lang w:val="uk-ua"/>
        </w:rPr>
        <w:t xml:space="preserve">абзацом четвертим </w:t>
      </w:r>
      <w:r>
        <w:rPr>
          <w:color w:val="333333"/>
          <w:sz w:val="27"/>
          <w:szCs w:val="27"/>
          <w:shd w:val="clear" w:fill="ffffff"/>
          <w:lang w:val="uk-ua"/>
        </w:rPr>
        <w:t>пункт</w:t>
      </w:r>
      <w:r>
        <w:rPr>
          <w:color w:val="333333"/>
          <w:sz w:val="27"/>
          <w:szCs w:val="27"/>
          <w:shd w:val="clear" w:fill="ffffff"/>
          <w:lang w:val="uk-ua"/>
        </w:rPr>
        <w:t>у</w:t>
      </w:r>
      <w:r>
        <w:rPr>
          <w:color w:val="333333"/>
          <w:sz w:val="27"/>
          <w:szCs w:val="27"/>
          <w:shd w:val="clear" w:fill="ffffff"/>
          <w:lang w:val="uk-ua"/>
        </w:rPr>
        <w:t xml:space="preserve"> </w:t>
      </w:r>
      <w:r>
        <w:rPr>
          <w:color w:val="333333"/>
          <w:sz w:val="27"/>
          <w:szCs w:val="27"/>
          <w:shd w:val="clear" w:fill="ffffff"/>
          <w:lang w:val="uk-ua"/>
        </w:rPr>
        <w:t xml:space="preserve">123, </w:t>
      </w:r>
      <w:r>
        <w:rPr>
          <w:color w:val="333333"/>
          <w:sz w:val="27"/>
          <w:szCs w:val="27"/>
          <w:shd w:val="clear" w:fill="ffffff"/>
          <w:lang w:val="uk-ua"/>
        </w:rPr>
        <w:t xml:space="preserve">пунктом </w:t>
      </w:r>
      <w:r>
        <w:rPr>
          <w:color w:val="333333"/>
          <w:sz w:val="27"/>
          <w:szCs w:val="27"/>
          <w:shd w:val="clear" w:fill="ffffff"/>
          <w:lang w:val="uk-ua"/>
        </w:rPr>
        <w:t>125, абзац</w:t>
      </w:r>
      <w:r>
        <w:rPr>
          <w:color w:val="333333"/>
          <w:sz w:val="27"/>
          <w:szCs w:val="27"/>
          <w:shd w:val="clear" w:fill="ffffff"/>
          <w:lang w:val="uk-ua"/>
        </w:rPr>
        <w:t>ом</w:t>
      </w:r>
      <w:r>
        <w:rPr>
          <w:color w:val="333333"/>
          <w:sz w:val="27"/>
          <w:szCs w:val="27"/>
          <w:shd w:val="clear" w:fill="ffffff"/>
          <w:lang w:val="uk-ua"/>
        </w:rPr>
        <w:t xml:space="preserve"> треті</w:t>
      </w:r>
      <w:r>
        <w:rPr>
          <w:color w:val="333333"/>
          <w:sz w:val="27"/>
          <w:szCs w:val="27"/>
          <w:shd w:val="clear" w:fill="ffffff"/>
          <w:lang w:val="uk-ua"/>
        </w:rPr>
        <w:t>м</w:t>
      </w:r>
      <w:r>
        <w:rPr>
          <w:color w:val="333333"/>
          <w:sz w:val="27"/>
          <w:szCs w:val="27"/>
          <w:shd w:val="clear" w:fill="ffffff"/>
          <w:lang w:val="uk-ua"/>
        </w:rPr>
        <w:t xml:space="preserve"> пункту 126, пунктом </w:t>
      </w:r>
      <w:r>
        <w:rPr>
          <w:color w:val="333333"/>
          <w:sz w:val="27"/>
          <w:szCs w:val="27"/>
          <w:shd w:val="clear" w:fill="ffffff"/>
          <w:lang w:val="uk-ua"/>
        </w:rPr>
        <w:t>134</w:t>
      </w:r>
      <w:r>
        <w:rPr>
          <w:color w:val="333333"/>
          <w:sz w:val="27"/>
          <w:szCs w:val="27"/>
          <w:shd w:val="clear" w:fill="ffffff"/>
          <w:lang w:val="uk-ua"/>
        </w:rPr>
        <w:t xml:space="preserve"> </w:t>
      </w:r>
      <w:r>
        <w:rPr>
          <w:color w:val="333333"/>
          <w:sz w:val="27"/>
          <w:szCs w:val="27"/>
          <w:shd w:val="clear" w:fill="ffffff"/>
          <w:lang w:val="uk-ua"/>
        </w:rPr>
        <w:t>Порядку передачі в оренду державного та комунального майна, затвердженого Постановою</w:t>
      </w:r>
      <w:r>
        <w:rPr>
          <w:sz w:val="26"/>
          <w:szCs w:val="26"/>
          <w:lang w:val="uk-ua"/>
        </w:rPr>
        <w:t xml:space="preserve"> Кабінету Міністрів від 03.06.2020 р.</w:t>
      </w:r>
      <w:r>
        <w:rPr>
          <w:sz w:val="26"/>
          <w:szCs w:val="26"/>
          <w:lang w:val="uk-ua"/>
        </w:rPr>
        <w:t xml:space="preserve"> № 483</w:t>
      </w:r>
      <w:r>
        <w:rPr>
          <w:sz w:val="26"/>
          <w:szCs w:val="26"/>
          <w:lang w:val="uk-ua"/>
        </w:rPr>
        <w:t xml:space="preserve">, з урахуванням пункту </w:t>
      </w:r>
      <w:r>
        <w:rPr>
          <w:sz w:val="26"/>
          <w:szCs w:val="26"/>
          <w:lang w:val="uk-ua"/>
        </w:rPr>
        <w:t>7-1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Постанови Кабінету міністрів України «Про особливості оренди державного та комунального майна у період воєнного стану»,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керуючись </w:t>
      </w:r>
      <w:r>
        <w:rPr>
          <w:sz w:val="26"/>
          <w:szCs w:val="26"/>
          <w:lang w:val="uk-ua"/>
        </w:rPr>
        <w:t xml:space="preserve">частиною другою статті 42, </w:t>
      </w:r>
      <w:r>
        <w:rPr>
          <w:sz w:val="26"/>
          <w:szCs w:val="26"/>
          <w:lang w:val="uk-ua"/>
        </w:rPr>
        <w:t>ст</w:t>
      </w:r>
      <w:r>
        <w:rPr>
          <w:sz w:val="26"/>
          <w:szCs w:val="26"/>
          <w:lang w:val="uk-ua"/>
        </w:rPr>
        <w:t>атт</w:t>
      </w:r>
      <w:r>
        <w:rPr>
          <w:sz w:val="26"/>
          <w:szCs w:val="26"/>
          <w:lang w:val="uk-ua"/>
        </w:rPr>
        <w:t>ею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та ч</w:t>
      </w:r>
      <w:r>
        <w:rPr>
          <w:sz w:val="26"/>
          <w:szCs w:val="26"/>
          <w:lang w:val="uk-ua"/>
        </w:rPr>
        <w:t xml:space="preserve">астиною </w:t>
      </w:r>
      <w:r>
        <w:rPr>
          <w:sz w:val="26"/>
          <w:szCs w:val="26"/>
          <w:lang w:val="uk-ua"/>
        </w:rPr>
        <w:t>п’ятою</w:t>
      </w:r>
      <w:r>
        <w:rPr>
          <w:sz w:val="26"/>
          <w:szCs w:val="26"/>
          <w:lang w:val="uk-ua"/>
        </w:rPr>
        <w:t xml:space="preserve"> ст</w:t>
      </w:r>
      <w:r>
        <w:rPr>
          <w:sz w:val="26"/>
          <w:szCs w:val="26"/>
          <w:lang w:val="uk-ua"/>
        </w:rPr>
        <w:t>атті</w:t>
      </w:r>
      <w:r>
        <w:rPr>
          <w:sz w:val="26"/>
          <w:szCs w:val="26"/>
          <w:lang w:val="uk-ua"/>
        </w:rPr>
        <w:t xml:space="preserve"> 60 Закону України «Про місцеве самоврядування в Україні», міська рада</w:t>
      </w:r>
      <w:r>
        <w:rPr>
          <w:sz w:val="26"/>
          <w:szCs w:val="26"/>
          <w:lang w:val="uk-ua"/>
        </w:rPr>
      </w:r>
    </w:p>
    <w:p>
      <w:pPr>
        <w:spacing/>
        <w:jc w:val="both"/>
        <w:tabs defTabSz="709">
          <w:tab w:val="center" w:pos="4748" w:leader="none"/>
          <w:tab w:val="right" w:pos="9497" w:leader="none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spacing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ВИРІШИЛА</w:t>
      </w:r>
      <w:r>
        <w:rPr>
          <w:sz w:val="26"/>
          <w:szCs w:val="26"/>
          <w:lang w:val="uk-ua"/>
        </w:rPr>
        <w:t>:</w:t>
      </w:r>
    </w:p>
    <w:p>
      <w:pPr>
        <w:pStyle w:val="para11"/>
        <w:numPr>
          <w:ilvl w:val="0"/>
          <w:numId w:val="22"/>
        </w:numPr>
        <w:ind w:left="0" w:firstLine="705"/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Внести зміни до договору оренди майна комунальної власності № 8 від 12.0</w:t>
      </w:r>
      <w:r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.2021 р. укладеного з Товариством з обмеженою відповідальністю «Телекомпанія «</w:t>
      </w:r>
      <w:r>
        <w:rPr>
          <w:sz w:val="26"/>
          <w:szCs w:val="26"/>
          <w:lang w:val="uk-ua"/>
        </w:rPr>
        <w:t>ЛіС</w:t>
      </w:r>
      <w:r>
        <w:rPr>
          <w:sz w:val="26"/>
          <w:szCs w:val="26"/>
          <w:lang w:val="uk-ua"/>
        </w:rPr>
        <w:t xml:space="preserve">» (код ЄДРПОУ – 30762399) на нежитлові підвальні приміщення </w:t>
      </w:r>
      <w:r>
        <w:rPr>
          <w:sz w:val="26"/>
          <w:szCs w:val="26"/>
          <w:lang w:val="uk-ua"/>
        </w:rPr>
        <w:t>літ. «б»</w:t>
      </w:r>
      <w:r>
        <w:rPr>
          <w:sz w:val="26"/>
          <w:szCs w:val="26"/>
          <w:lang w:val="uk-ua"/>
        </w:rPr>
        <w:t xml:space="preserve"> № XVII, XIX, XXXXIII, ХХХХІV </w:t>
      </w:r>
      <w:r>
        <w:rPr>
          <w:sz w:val="26"/>
          <w:szCs w:val="26"/>
          <w:lang w:val="uk-ua"/>
        </w:rPr>
        <w:t>розташовані в житловому будинку по вул. Армійській (колишня Ломоносова), 2 в м. Білгороді-Дністровському</w:t>
      </w:r>
      <w:r>
        <w:rPr>
          <w:sz w:val="26"/>
          <w:szCs w:val="26"/>
          <w:lang w:val="uk-ua"/>
        </w:rPr>
        <w:t>, а саме</w:t>
      </w:r>
      <w:r>
        <w:rPr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</w:r>
    </w:p>
    <w:p>
      <w:pPr>
        <w:pStyle w:val="para11"/>
        <w:numPr>
          <w:ilvl w:val="1"/>
          <w:numId w:val="22"/>
        </w:numPr>
        <w:ind w:left="0" w:firstLine="705"/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в частині зміни площі у зв’язку із приєднанням до об’єкта оренди додаткового приміщення, яке не має окремого входу і доступ до якого неможливий без доступу до об’єкта оренди, а саме: нежитлових підвальних приміщень</w:t>
      </w:r>
      <w:r>
        <w:rPr>
          <w:sz w:val="26"/>
          <w:szCs w:val="26"/>
          <w:lang w:val="uk-ua"/>
        </w:rPr>
        <w:t xml:space="preserve"> літ. «б</w:t>
      </w:r>
      <w:r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№</w:t>
      </w:r>
      <w:r>
        <w:rPr>
          <w:sz w:val="26"/>
          <w:szCs w:val="26"/>
          <w:lang w:val="uk-ua"/>
        </w:rPr>
        <w:t xml:space="preserve"> XVI</w:t>
      </w:r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XVII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 урахуванням умови, що площа приєднаних приміщень не перевищує 100 відсотків площі об’єкта оренди, виклавши п. 1.1. договору в наступній редакції: </w:t>
      </w:r>
      <w:r>
        <w:rPr>
          <w:sz w:val="26"/>
          <w:szCs w:val="26"/>
          <w:lang w:val="uk-ua"/>
        </w:rPr>
      </w:r>
    </w:p>
    <w:p>
      <w:pPr>
        <w:ind w:firstLine="705"/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«Орендодавець  передає, а Орендар приймає в строкове  платне  користування нежитлові підвальні приміщення літ. «б» № XVI, XVII, XVIII, XIX, XXXXIII, ХХХХІV розташовані в житловому будинку по вул. Армійській (колишня Ломоносова), 2 в </w:t>
        <w:br w:type="textWrapping"/>
        <w:t xml:space="preserve">м. Білгороді-Дністровському,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Білгород-Дністровського району, Одеської області</w:t>
      </w:r>
      <w:r>
        <w:rPr>
          <w:sz w:val="26"/>
          <w:szCs w:val="26"/>
          <w:lang w:val="uk-ua"/>
        </w:rPr>
        <w:t xml:space="preserve">, загальною площею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91,8 </w:t>
      </w:r>
      <w:r>
        <w:rPr>
          <w:sz w:val="26"/>
          <w:szCs w:val="26"/>
          <w:lang w:val="uk-ua"/>
        </w:rPr>
        <w:t>кв.м</w:t>
      </w:r>
      <w:r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зі складу об’єкта нерухомого майна</w:t>
      </w:r>
      <w:r>
        <w:rPr>
          <w:sz w:val="26"/>
          <w:szCs w:val="26"/>
          <w:lang w:val="uk-ua"/>
        </w:rPr>
        <w:t xml:space="preserve"> з реєстраційним номером – 1871256551103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(далі – Майно)»;</w:t>
      </w:r>
      <w:r>
        <w:rPr>
          <w:sz w:val="26"/>
          <w:szCs w:val="26"/>
          <w:lang w:val="uk-ua"/>
        </w:rPr>
      </w:r>
    </w:p>
    <w:p>
      <w:pPr>
        <w:pStyle w:val="para11"/>
        <w:numPr>
          <w:ilvl w:val="1"/>
          <w:numId w:val="17"/>
        </w:numPr>
        <w:ind w:left="0" w:firstLine="851"/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частині приведення строку у відповідність із мінімальним строком оренди, а саме:</w:t>
      </w:r>
    </w:p>
    <w:p>
      <w:pPr>
        <w:ind w:firstLine="705"/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визнати договір оренди майна комунальної власності № 8 від 12.05</w:t>
      </w:r>
      <w:r>
        <w:rPr>
          <w:sz w:val="26"/>
          <w:szCs w:val="26"/>
          <w:lang w:val="uk-ua"/>
        </w:rPr>
        <w:t>.202</w:t>
      </w:r>
      <w:r>
        <w:rPr>
          <w:sz w:val="26"/>
          <w:szCs w:val="26"/>
          <w:lang w:val="uk-ua"/>
        </w:rPr>
        <w:t xml:space="preserve">1 </w:t>
      </w:r>
      <w:r>
        <w:rPr>
          <w:sz w:val="26"/>
          <w:szCs w:val="26"/>
          <w:lang w:val="uk-ua"/>
        </w:rPr>
        <w:t xml:space="preserve">р. укладеним строком на 5 (п’ять) років;  </w:t>
      </w:r>
      <w:r>
        <w:rPr>
          <w:sz w:val="26"/>
          <w:szCs w:val="26"/>
          <w:lang w:val="uk-ua"/>
        </w:rPr>
      </w:r>
    </w:p>
    <w:p>
      <w:pPr>
        <w:ind w:firstLine="705"/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перебіг строку оренди визначити ретроактивно з дати підписання акта прийому-передачі в орендне користування нежитлових приміщень з 12.05.2021 р.  </w:t>
      </w:r>
      <w:r>
        <w:rPr>
          <w:sz w:val="26"/>
          <w:szCs w:val="26"/>
          <w:lang w:val="uk-ua"/>
        </w:rPr>
      </w:r>
    </w:p>
    <w:p>
      <w:pPr>
        <w:pStyle w:val="para11"/>
        <w:numPr>
          <w:ilvl w:val="1"/>
          <w:numId w:val="17"/>
        </w:numPr>
        <w:ind w:left="0" w:firstLine="705"/>
        <w: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частині зміни цільового призначення майна, а саме: п. 1.6 договору викласти в  наступній редакції: «Цільове призначення майна: Будь-яке цільове призначення, крім 11 категорії»;</w:t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>Управлінню комунальної власності Департаменту економіки та розвитку інфраструктури міста Білгород-Дністровської міської ради (код ЄДРПОУ – 23988184) продовжити, шляхом проведення аукціону в електронній торговій системі,  договір оренди майн</w:t>
      </w:r>
      <w:r>
        <w:rPr>
          <w:sz w:val="26"/>
          <w:szCs w:val="26"/>
          <w:lang w:val="uk-ua"/>
        </w:rPr>
        <w:t xml:space="preserve">а комунальної власності </w:t>
      </w:r>
      <w:r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 xml:space="preserve"> від </w:t>
      </w:r>
      <w:r>
        <w:rPr>
          <w:sz w:val="26"/>
          <w:szCs w:val="26"/>
          <w:lang w:val="uk-ua"/>
        </w:rPr>
        <w:t>12</w:t>
      </w:r>
      <w:r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.2021 р. укладений з Товариством з обмеженою відповідальністю «Телекомпанія «</w:t>
      </w:r>
      <w:r>
        <w:rPr>
          <w:sz w:val="26"/>
          <w:szCs w:val="26"/>
          <w:lang w:val="uk-ua"/>
        </w:rPr>
        <w:t>ЛіС</w:t>
      </w:r>
      <w:r>
        <w:rPr>
          <w:sz w:val="26"/>
          <w:szCs w:val="26"/>
          <w:lang w:val="uk-ua"/>
        </w:rPr>
        <w:t>» (код ЄДРПОУ – 30762399) враховуючи пункт 1 цього рішення, а саме на об’єкт оренди</w:t>
      </w:r>
      <w:r>
        <w:rPr>
          <w:sz w:val="26"/>
          <w:szCs w:val="26"/>
          <w:lang w:val="uk-ua"/>
        </w:rPr>
        <w:t xml:space="preserve"> - </w:t>
      </w:r>
      <w:r>
        <w:rPr>
          <w:sz w:val="26"/>
          <w:szCs w:val="26"/>
          <w:lang w:val="uk-ua"/>
        </w:rPr>
        <w:t>нежитлові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підвальні </w:t>
      </w:r>
      <w:r>
        <w:rPr>
          <w:sz w:val="26"/>
          <w:szCs w:val="26"/>
          <w:lang w:val="uk-ua"/>
        </w:rPr>
        <w:t>приміщення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літ. «б» </w:t>
      </w:r>
      <w:r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en-us"/>
        </w:rPr>
        <w:t>XVI</w:t>
      </w:r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en-us"/>
        </w:rPr>
        <w:t>XVIII</w:t>
      </w:r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en-us"/>
        </w:rPr>
        <w:t>XIX</w:t>
      </w:r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en-us"/>
        </w:rPr>
        <w:t>XXXXIII</w:t>
      </w:r>
      <w:r>
        <w:rPr>
          <w:sz w:val="26"/>
          <w:szCs w:val="26"/>
          <w:lang w:val="uk-ua"/>
        </w:rPr>
        <w:t>, ХХХХІ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uk-ua"/>
        </w:rPr>
        <w:t xml:space="preserve">, загальною площею </w:t>
      </w:r>
      <w:r>
        <w:rPr>
          <w:sz w:val="26"/>
          <w:szCs w:val="26"/>
          <w:lang w:val="uk-ua"/>
        </w:rPr>
        <w:t>91,8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кв.м</w:t>
      </w:r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розташовані в житловому будинку за </w:t>
      </w:r>
      <w:r>
        <w:rPr>
          <w:sz w:val="26"/>
          <w:szCs w:val="26"/>
          <w:lang w:val="uk-ua"/>
        </w:rPr>
        <w:t>адресою</w:t>
      </w:r>
      <w:r>
        <w:rPr>
          <w:sz w:val="26"/>
          <w:szCs w:val="26"/>
          <w:lang w:val="uk-ua"/>
        </w:rPr>
        <w:t>: Одеська область, Білгород-Дністровський район, м. Білгород-Дністровський, вул. Армійська (колишня Ломоносова), буд. 2</w:t>
      </w:r>
      <w:r>
        <w:rPr>
          <w:sz w:val="27"/>
          <w:szCs w:val="27"/>
          <w:lang w:val="uk-ua"/>
        </w:rPr>
        <w:t>, із складу об’єкта нерухомого майна із реєстраційним номером – 1871256551103.</w:t>
      </w:r>
      <w:r>
        <w:rPr>
          <w:sz w:val="27"/>
          <w:szCs w:val="27"/>
          <w:lang w:val="uk-ua"/>
        </w:rPr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>Управлінню комунальної власності Департаменту економіки та розвитку інфраструктури міста Білгород-Дністровської міської ради о</w:t>
      </w:r>
      <w:r>
        <w:rPr>
          <w:color w:val="000000"/>
          <w:sz w:val="26"/>
          <w:szCs w:val="26"/>
          <w:lang w:val="uk-ua"/>
        </w:rPr>
        <w:t xml:space="preserve">голосити </w:t>
      </w:r>
      <w:r>
        <w:rPr>
          <w:sz w:val="26"/>
          <w:szCs w:val="26"/>
          <w:lang w:val="uk-ua"/>
        </w:rPr>
        <w:t>аукціон на продовження договору оренди, відповідно до пункту</w:t>
      </w:r>
      <w:r>
        <w:rPr>
          <w:sz w:val="26"/>
          <w:szCs w:val="26"/>
          <w:lang w:val="uk-ua"/>
        </w:rPr>
        <w:t xml:space="preserve"> 2</w:t>
      </w:r>
      <w:r>
        <w:rPr>
          <w:sz w:val="26"/>
          <w:szCs w:val="26"/>
          <w:lang w:val="uk-ua"/>
        </w:rPr>
        <w:t xml:space="preserve"> цього рішення, за результатами яких чинний договір може бути продовжений з існуючим орендарем, або укладений з новим орендарем, </w:t>
      </w:r>
      <w:r>
        <w:rPr>
          <w:color w:val="000000"/>
          <w:sz w:val="26"/>
          <w:szCs w:val="26"/>
          <w:lang w:val="uk-ua"/>
        </w:rPr>
        <w:t xml:space="preserve">та погодити </w:t>
      </w:r>
      <w:r>
        <w:rPr>
          <w:sz w:val="26"/>
          <w:szCs w:val="26"/>
          <w:lang w:val="uk-ua"/>
        </w:rPr>
        <w:t>зміст оголошен</w:t>
      </w:r>
      <w:r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про проведення аукціон</w:t>
      </w:r>
      <w:r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відповідно до Д</w:t>
      </w:r>
      <w:r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датк</w:t>
      </w:r>
      <w:r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додається)</w:t>
      </w:r>
      <w:r>
        <w:rPr>
          <w:sz w:val="26"/>
          <w:szCs w:val="26"/>
          <w:lang w:val="uk-ua"/>
        </w:rPr>
        <w:t>.</w:t>
      </w:r>
      <w:r>
        <w:rPr>
          <w:sz w:val="27"/>
          <w:szCs w:val="27"/>
          <w:lang w:val="uk-ua"/>
        </w:rPr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>У разі коли переможцем аукціону став чинний орендар, між ним та орендодавцем - Управлінням комунальної власності Департаменту економіки та розвитку інфраструктури міста Білгород-Дністровської міської ради укладається додаткова угода про продовження договору оренди майна шляхом викладення договору оренди в новій редакції згідно з Примірним договором оренди. Доручити орендодавцю затвердити, шляхом підписання, протокол аукціону.</w:t>
      </w:r>
      <w:r>
        <w:rPr>
          <w:sz w:val="27"/>
          <w:szCs w:val="27"/>
          <w:lang w:val="uk-ua"/>
        </w:rPr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>Якщо переможцем аукціону став інший учасник аукціону, договір з чинним орендарем припиняється у зв’язку із закінченням строку, на який його укладено, а орендодавцю - Управлінню комунальної власності Департаменту економіки та розвитку інфраструктури міста Білгород-Дністровської міської ради, доручається затвердити, шляхом підписання, протокол аукціону та укласти договір оренди з переможцем аукціону.</w:t>
      </w:r>
      <w:r>
        <w:rPr>
          <w:sz w:val="27"/>
          <w:szCs w:val="27"/>
          <w:lang w:val="uk-ua"/>
        </w:rPr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 xml:space="preserve">У разі коли переможець електронного аукціону не відповідає вимогам статті 4 Закону «Про оренду державного та комунального майна», або в інших випадках, передбачених частиною дев’ятою статті 13 Закону, та у разі, коли переможець не сплатив авансовий внесок, доручити орендодавцю - Управлінню комунальної власності Департаменту економіки та розвитку інфраструктури міста Білгород-Дністровської міської ради прийняти рішення у формі наказу про відмову у затвердженні протоколу про результати відповідного електронного аукціону або про відмову від укладення договору оренди та завантажити його в електронну торгову систему. </w:t>
      </w:r>
      <w:r>
        <w:rPr>
          <w:sz w:val="27"/>
          <w:szCs w:val="27"/>
          <w:lang w:val="uk-ua"/>
        </w:rPr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 xml:space="preserve">Якщо переможець електронного аукціону відмовився від підписання протоколу про результати електронного аукціону та/або договору оренди чи не підписав такий протокол або договір у строки встановлені п. 74 Порядку передачі в оренду державного та комунального майна, затвердженого Постановою Кабінету Міністрів № 483 від 03.06.2020 р. доручити орендодавцю - Управлінню комунальної власності Департаменту економіки та розвитку інфраструктури міста Білгород-Дністровської міської ради скласти та завантажити відповідний акт в електронну торгову систему. </w:t>
      </w:r>
      <w:r>
        <w:rPr>
          <w:sz w:val="27"/>
          <w:szCs w:val="27"/>
          <w:lang w:val="uk-ua"/>
        </w:rPr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>У разі якщо аукціон на продовження договору оренди визнається таким, за результатами якого об’єкт не було передано в оренду відповідно до п. 152 Порядку, а ЕТС сформовано протокол про визнання аукціону таким, що не відбувся, Управлінням комунальної власності Департаменту економіки та розвитку інфраструктури Білгород-Дністровської міської ради публікується оголошення про проведення аукціону відповідно до п. 2 цього рішення та здійснюється проведення аукціону відповідно до статті 13 Закону.</w:t>
      </w:r>
      <w:r>
        <w:rPr>
          <w:sz w:val="27"/>
          <w:szCs w:val="27"/>
          <w:lang w:val="uk-ua"/>
        </w:rPr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 xml:space="preserve">У разі визнання аукціону, оголошеного відповідно до п. 7 цього рішення  таким, що не відбувся включити </w:t>
      </w:r>
      <w:r>
        <w:rPr>
          <w:sz w:val="26"/>
          <w:szCs w:val="26"/>
          <w:lang w:val="uk-ua"/>
        </w:rPr>
        <w:t xml:space="preserve"> об’єкт оренди </w:t>
      </w:r>
      <w:r>
        <w:rPr>
          <w:sz w:val="26"/>
          <w:szCs w:val="26"/>
          <w:lang w:val="uk-ua"/>
        </w:rPr>
        <w:t>визначен</w:t>
      </w:r>
      <w:r>
        <w:rPr>
          <w:sz w:val="26"/>
          <w:szCs w:val="26"/>
          <w:lang w:val="uk-ua"/>
        </w:rPr>
        <w:t>ий</w:t>
      </w:r>
      <w:r>
        <w:rPr>
          <w:sz w:val="26"/>
          <w:szCs w:val="26"/>
          <w:lang w:val="uk-ua"/>
        </w:rPr>
        <w:t xml:space="preserve"> в п. 1 цього рішення з </w:t>
      </w:r>
      <w:r>
        <w:rPr>
          <w:sz w:val="26"/>
          <w:szCs w:val="26"/>
          <w:lang w:val="uk-ua"/>
        </w:rPr>
        <w:t xml:space="preserve"> Переліку першого типу, а Управлінню комунальної власності Департаменту економіки та розвитку інфраструктури міста Білгород-Дністровської міської ради доруч</w:t>
      </w:r>
      <w:r>
        <w:rPr>
          <w:sz w:val="26"/>
          <w:szCs w:val="26"/>
          <w:lang w:val="uk-ua"/>
        </w:rPr>
        <w:t>ити</w:t>
      </w:r>
      <w:r>
        <w:rPr>
          <w:sz w:val="26"/>
          <w:szCs w:val="26"/>
          <w:lang w:val="uk-ua"/>
        </w:rPr>
        <w:t xml:space="preserve"> прийняти рішення у формі наказу щодо відміни електронного аукціону в зв’язку із включення</w:t>
      </w:r>
      <w:r>
        <w:rPr>
          <w:sz w:val="26"/>
          <w:szCs w:val="26"/>
          <w:lang w:val="uk-ua"/>
        </w:rPr>
        <w:t>м</w:t>
      </w:r>
      <w:r>
        <w:rPr>
          <w:sz w:val="26"/>
          <w:szCs w:val="26"/>
          <w:lang w:val="uk-ua"/>
        </w:rPr>
        <w:t xml:space="preserve"> об’єкта оренди </w:t>
      </w:r>
      <w:r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 xml:space="preserve"> Переліку першого типу.  </w:t>
      </w:r>
      <w:r>
        <w:rPr>
          <w:sz w:val="27"/>
          <w:szCs w:val="27"/>
          <w:lang w:val="uk-ua"/>
        </w:rPr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Договір оренди нерухомого майна комунальної власності № 5 від 25.03.2021 р. вважати таким що припинений. </w:t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</w:t>
      </w:r>
    </w:p>
    <w:p>
      <w:pPr>
        <w:pStyle w:val="para11"/>
        <w:numPr>
          <w:ilvl w:val="0"/>
          <w:numId w:val="17"/>
        </w:numPr>
        <w:ind w:left="0" w:firstLine="709"/>
        <w:spacing/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>Контроль за виконанням цього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  <w:r>
        <w:rPr>
          <w:sz w:val="27"/>
          <w:szCs w:val="27"/>
          <w:lang w:val="uk-ua"/>
        </w:rPr>
      </w:r>
    </w:p>
    <w:p>
      <w:pPr>
        <w:ind w:firstLine="709"/>
        <w:spacing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ind w:firstLine="709"/>
        <w:spacing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ind w:firstLine="709"/>
        <w:spacing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spacing/>
        <w:jc w:val="both"/>
        <w:tabs defTabSz="709">
          <w:tab w:val="left" w:pos="360" w:leader="none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міської ради</w:t>
        <w:tab/>
        <w:t xml:space="preserve"> </w:t>
        <w:tab/>
        <w:tab/>
        <w:t xml:space="preserve">                                          Олександр СКАЛОЗУБ</w:t>
      </w:r>
      <w:r>
        <w:rPr>
          <w:sz w:val="26"/>
          <w:szCs w:val="26"/>
          <w:lang w:val="uk-ua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9"/>
          <w:type w:val="nextPage"/>
          <w:pgSz w:h="16840" w:w="11907"/>
          <w:pgMar w:left="1418" w:top="993" w:right="850" w:bottom="851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firstLine="709"/>
        <w:spacing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до рішення міської ради</w:t>
      </w:r>
    </w:p>
    <w:p>
      <w:pPr>
        <w:ind w:firstLine="709"/>
        <w:spacing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 1783-VIIІ від  18</w:t>
      </w:r>
      <w:r/>
      <w:bookmarkStart w:id="1" w:name="_GoBack"/>
      <w:bookmarkEnd w:id="1"/>
      <w:r/>
      <w:r>
        <w:rPr>
          <w:sz w:val="26"/>
          <w:szCs w:val="26"/>
          <w:lang w:val="uk-ua"/>
        </w:rPr>
        <w:t>.12.2025</w:t>
      </w:r>
      <w:r>
        <w:rPr>
          <w:sz w:val="26"/>
          <w:szCs w:val="26"/>
          <w:lang w:val="uk-ua"/>
        </w:rPr>
        <w:t xml:space="preserve"> р.</w:t>
      </w:r>
      <w:r>
        <w:rPr>
          <w:sz w:val="26"/>
          <w:szCs w:val="26"/>
          <w:lang w:val="uk-ua"/>
        </w:rPr>
      </w:r>
    </w:p>
    <w:p>
      <w:pPr>
        <w:ind w:firstLine="709"/>
        <w:spacing/>
        <w:jc w:val="right"/>
        <w:rPr>
          <w:color w:val="ff0000"/>
          <w:sz w:val="26"/>
          <w:szCs w:val="26"/>
          <w:lang w:val="uk-ua"/>
        </w:rPr>
      </w:pPr>
      <w:r>
        <w:rPr>
          <w:color w:val="ff0000"/>
          <w:sz w:val="26"/>
          <w:szCs w:val="26"/>
          <w:lang w:val="uk-ua"/>
        </w:rPr>
      </w:r>
    </w:p>
    <w:p>
      <w:pPr>
        <w:ind w:firstLine="426"/>
        <w:spacing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Оголошення про проведення аукціону на продовження договору оренди</w:t>
      </w:r>
    </w:p>
    <w:p>
      <w:pPr>
        <w:ind w:firstLine="426"/>
        <w:spacing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№ 8 від 12.05.2021 р. з існуючим орендарем ТОВ «Телекомпанія «</w:t>
      </w:r>
      <w:r>
        <w:rPr>
          <w:b/>
          <w:sz w:val="26"/>
          <w:szCs w:val="26"/>
          <w:lang w:val="uk-ua"/>
        </w:rPr>
        <w:t>ЛіС</w:t>
      </w:r>
      <w:r>
        <w:rPr>
          <w:b/>
          <w:sz w:val="26"/>
          <w:szCs w:val="26"/>
          <w:lang w:val="uk-ua"/>
        </w:rPr>
        <w:t xml:space="preserve">» </w:t>
      </w:r>
      <w:r>
        <w:rPr>
          <w:b/>
          <w:sz w:val="26"/>
          <w:szCs w:val="26"/>
          <w:lang w:val="uk-ua"/>
        </w:rPr>
      </w:r>
    </w:p>
    <w:p>
      <w:pPr>
        <w:ind w:firstLine="426"/>
        <w:spacing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(код ЄДРПОУ - 30762399), або укладений з новим орендарем</w:t>
      </w:r>
    </w:p>
    <w:p>
      <w:pPr>
        <w:spacing/>
        <w:jc w:val="center"/>
        <w:rPr>
          <w:highlight w:val="yellow"/>
          <w:sz w:val="26"/>
          <w:szCs w:val="26"/>
          <w:lang w:val="uk-ua"/>
        </w:rPr>
      </w:pPr>
      <w:r>
        <w:rPr>
          <w:highlight w:val="yellow"/>
          <w:sz w:val="26"/>
          <w:szCs w:val="26"/>
          <w:lang w:val="uk-ua"/>
        </w:rPr>
        <w:t xml:space="preserve"> </w:t>
      </w:r>
    </w:p>
    <w:tbl>
      <w:tblPr>
        <w:tblStyle w:val="TableGrid"/>
        <w:name w:val="Table2"/>
        <w:tabOrder w:val="0"/>
        <w:jc w:val="left"/>
        <w:tblInd w:w="-5" w:type="dxa"/>
        <w:tblW w:w="9876" w:type="dxa"/>
        <w:tblLook w:val="04A0" w:firstRow="1" w:lastRow="0" w:firstColumn="1" w:lastColumn="0" w:noHBand="0" w:noVBand="1"/>
      </w:tblPr>
      <w:tblGrid>
        <w:gridCol w:w="2268"/>
        <w:gridCol w:w="1559"/>
        <w:gridCol w:w="2251"/>
        <w:gridCol w:w="3798"/>
      </w:tblGrid>
      <w:tr>
        <w:trPr>
          <w:cantSplit w:val="0"/>
          <w:trHeight w:val="0" w:hRule="auto"/>
        </w:trPr>
        <w:tc>
          <w:tcPr>
            <w:tcW w:w="9876" w:type="dxa"/>
            <w:gridSpan w:val="4"/>
            <w:tmTcPr id="1766397961" protected="0"/>
          </w:tcPr>
          <w:p>
            <w:pPr>
              <w:numPr>
                <w:ilvl w:val="0"/>
                <w:numId w:val="8"/>
              </w:numPr>
              <w:ind w:left="720" w:hanging="360"/>
              <w:spacing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Інформація про чинний договір оренди, строк якого закінчується:</w:t>
            </w:r>
          </w:p>
        </w:tc>
      </w:tr>
      <w:tr>
        <w:trPr>
          <w:cantSplit w:val="0"/>
          <w:trHeight w:val="0" w:hRule="auto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Орендар</w:t>
            </w:r>
          </w:p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049" w:type="dxa"/>
            <w:gridSpan w:val="2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ТОВ «Телекомпанія «ЛіС» (код ЄДРПОУ - 30762399)</w:t>
            </w:r>
            <w:r>
              <w:rPr>
                <w:lang w:val="uk-ua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Орендодавець</w:t>
            </w:r>
          </w:p>
        </w:tc>
        <w:tc>
          <w:tcPr>
            <w:tcW w:w="6049" w:type="dxa"/>
            <w:gridSpan w:val="2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Управління комунальної власності Департаменту економіки та розвитку інфраструктури міста Білгород-Дністровської міської ради (код ЄДРПОУ - 23988184), Одеська обл.,  м. Білгород-Дністровський,</w:t>
              <w:br w:type="textWrapping"/>
              <w:t xml:space="preserve">вул. Незалежності,10.  </w:t>
            </w:r>
          </w:p>
        </w:tc>
      </w:tr>
      <w:tr>
        <w:trPr>
          <w:cantSplit w:val="0"/>
          <w:trHeight w:val="0" w:hRule="auto"/>
        </w:trPr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Договір</w:t>
            </w:r>
          </w:p>
        </w:tc>
        <w:tc>
          <w:tcPr>
            <w:tcW w:w="1559" w:type="dxa"/>
            <w:vAlign w:val="center"/>
            <w:tcBorders>
              <w:lef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Дата укладання</w:t>
            </w:r>
          </w:p>
        </w:tc>
        <w:tc>
          <w:tcPr>
            <w:tcW w:w="6049" w:type="dxa"/>
            <w:gridSpan w:val="2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№ 8 від 12.05.2021 р.</w:t>
            </w:r>
          </w:p>
        </w:tc>
      </w:tr>
      <w:tr>
        <w:trPr>
          <w:cantSplit w:val="0"/>
          <w:trHeight w:val="0" w:hRule="auto"/>
        </w:trPr>
        <w:tc>
          <w:tcPr>
            <w:tcW w:w="2268" w:type="dxa"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59" w:type="dxa"/>
            <w:vAlign w:val="center"/>
            <w:tcBorders>
              <w:lef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Строк оренди</w:t>
            </w:r>
          </w:p>
        </w:tc>
        <w:tc>
          <w:tcPr>
            <w:tcW w:w="6049" w:type="dxa"/>
            <w:gridSpan w:val="2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 роки 11 місяців</w:t>
            </w:r>
          </w:p>
        </w:tc>
      </w:tr>
      <w:tr>
        <w:trPr>
          <w:cantSplit w:val="0"/>
          <w:trHeight w:val="0" w:hRule="auto"/>
        </w:trPr>
        <w:tc>
          <w:tcPr>
            <w:tcW w:w="2268" w:type="dxa"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59" w:type="dxa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Дата закінчення</w:t>
            </w:r>
          </w:p>
          <w:p>
            <w:pPr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6049" w:type="dxa"/>
            <w:gridSpan w:val="2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12.04.2024 р. з урахуванням пункту 5 Постанови КМ України від 27 травня 2022 р. № 634 «Про особливості оренди державного та комунального майна у період воєнного стану</w:t>
            </w:r>
            <w:r/>
            <w:bookmarkStart w:id="2" w:name="n3"/>
            <w:bookmarkEnd w:id="2"/>
            <w:r/>
            <w:r>
              <w:rPr>
                <w:lang w:val="uk-ua"/>
              </w:rPr>
              <w:t>»</w:t>
            </w:r>
            <w:r>
              <w:rPr>
                <w:lang w:val="uk-ua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Орендар має переважне право на продовження договору оренди (так/ні)</w:t>
            </w:r>
          </w:p>
        </w:tc>
        <w:tc>
          <w:tcPr>
            <w:tcW w:w="6049" w:type="dxa"/>
            <w:gridSpan w:val="2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Так, за умов прийняття участі в аукціоні.</w:t>
            </w:r>
          </w:p>
        </w:tc>
      </w:tr>
      <w:tr>
        <w:trPr>
          <w:cantSplit w:val="0"/>
          <w:trHeight w:val="264" w:hRule="atLeast"/>
        </w:trPr>
        <w:tc>
          <w:tcPr>
            <w:tcW w:w="9876" w:type="dxa"/>
            <w:gridSpan w:val="4"/>
            <w:tmTcPr id="1766397961" protected="0"/>
          </w:tcPr>
          <w:p>
            <w:pPr>
              <w:numPr>
                <w:ilvl w:val="0"/>
                <w:numId w:val="8"/>
              </w:numPr>
              <w:ind w:left="720" w:hanging="360"/>
              <w:spacing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інформація про об’єкт оренди:</w:t>
            </w:r>
          </w:p>
        </w:tc>
      </w:tr>
      <w:tr>
        <w:trPr>
          <w:cantSplit w:val="0"/>
          <w:trHeight w:val="440" w:hRule="atLeast"/>
        </w:trPr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Орендодавець, Балансоутримувач</w:t>
            </w:r>
          </w:p>
        </w:tc>
        <w:tc>
          <w:tcPr>
            <w:tcW w:w="7608" w:type="dxa"/>
            <w:gridSpan w:val="3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ради, (код ЄДРПОУ - 23988184) Одеська обл.,  м. Білгород-Дністровський, вул. Незалежності,10.  </w:t>
            </w:r>
          </w:p>
        </w:tc>
      </w:tr>
      <w:tr>
        <w:trPr>
          <w:cantSplit w:val="0"/>
          <w:trHeight w:val="264" w:hRule="atLeast"/>
        </w:trPr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Місцезнаходження, адреса</w:t>
            </w:r>
          </w:p>
        </w:tc>
        <w:tc>
          <w:tcPr>
            <w:tcW w:w="7608" w:type="dxa"/>
            <w:gridSpan w:val="3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Одеська область, Білгород-Дністровський район, м. Білгород-Дністровський, вул. Армійська, буд. 2</w:t>
            </w:r>
          </w:p>
        </w:tc>
      </w:tr>
      <w:tr>
        <w:trPr>
          <w:cantSplit w:val="0"/>
          <w:trHeight w:val="279" w:hRule="atLeast"/>
        </w:trPr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Вартість об’єкту грн.) </w:t>
            </w:r>
          </w:p>
        </w:tc>
        <w:tc>
          <w:tcPr>
            <w:tcW w:w="1559" w:type="dxa"/>
            <w:vAlign w:val="center"/>
            <w:tcBorders>
              <w:lef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Оціночна </w:t>
            </w:r>
          </w:p>
        </w:tc>
        <w:tc>
          <w:tcPr>
            <w:tcW w:w="6049" w:type="dxa"/>
            <w:gridSpan w:val="2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>
          <w:cantSplit w:val="0"/>
          <w:trHeight w:val="543" w:hRule="atLeast"/>
        </w:trPr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Тип об’єкта:</w:t>
            </w:r>
          </w:p>
        </w:tc>
        <w:tc>
          <w:tcPr>
            <w:tcW w:w="7608" w:type="dxa"/>
            <w:gridSpan w:val="3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нежитлові підвальні приміщення літ. "б" </w:t>
            </w:r>
            <w:r>
              <w:rPr>
                <w:sz w:val="26"/>
                <w:szCs w:val="26"/>
                <w:lang w:val="uk-ua"/>
              </w:rPr>
              <w:t xml:space="preserve">№ </w:t>
            </w:r>
            <w:r>
              <w:rPr>
                <w:sz w:val="26"/>
                <w:szCs w:val="26"/>
                <w:lang w:val="en-us"/>
              </w:rPr>
              <w:t>XVI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XVII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XVIII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XIX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XXXXIII</w:t>
            </w:r>
            <w:r>
              <w:rPr>
                <w:sz w:val="26"/>
                <w:szCs w:val="26"/>
                <w:lang w:val="uk-ua"/>
              </w:rPr>
              <w:t>, ХХХХІ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lang w:val="uk-ua"/>
              </w:rPr>
            </w:r>
          </w:p>
        </w:tc>
      </w:tr>
      <w:tr>
        <w:trPr>
          <w:cantSplit w:val="0"/>
          <w:trHeight w:val="434" w:hRule="atLeast"/>
        </w:trPr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Площа (кв.м)</w:t>
            </w:r>
          </w:p>
        </w:tc>
        <w:tc>
          <w:tcPr>
            <w:tcW w:w="7608" w:type="dxa"/>
            <w:gridSpan w:val="3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91,8</w:t>
            </w:r>
          </w:p>
        </w:tc>
      </w:tr>
      <w:tr>
        <w:trPr>
          <w:cantSplit w:val="0"/>
          <w:trHeight w:val="533" w:hRule="atLeast"/>
        </w:trPr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Характеристика</w:t>
            </w:r>
          </w:p>
        </w:tc>
        <w:tc>
          <w:tcPr>
            <w:tcW w:w="7608" w:type="dxa"/>
            <w:gridSpan w:val="3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Приміщення перебувають у підвалі житлового будинку.</w:t>
            </w:r>
          </w:p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Об’єкт забезпечений комунікаціями, присутні електроосвітлення, центральний водопровід та каналізація. </w:t>
            </w:r>
          </w:p>
        </w:tc>
      </w:tr>
      <w:tr>
        <w:trPr>
          <w:cantSplit w:val="0"/>
          <w:trHeight w:val="339" w:hRule="atLeast"/>
        </w:trPr>
        <w:tc>
          <w:tcPr>
            <w:tcW w:w="2268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Відомості про реєстрацію майна до якого входять склад об’єкт оренди </w:t>
            </w:r>
          </w:p>
        </w:tc>
        <w:tc>
          <w:tcPr>
            <w:tcW w:w="15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Стан</w:t>
            </w:r>
          </w:p>
        </w:tc>
        <w:tc>
          <w:tcPr>
            <w:tcW w:w="6049" w:type="dxa"/>
            <w:gridSpan w:val="2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Зареєстровано в Державному реєстрі речових прав на нерухоме майно </w:t>
            </w:r>
          </w:p>
        </w:tc>
      </w:tr>
      <w:tr>
        <w:trPr>
          <w:cantSplit w:val="0"/>
          <w:trHeight w:val="264" w:hRule="atLeast"/>
        </w:trPr>
        <w:tc>
          <w:tcPr>
            <w:tcW w:w="226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/>
        </w:tc>
        <w:tc>
          <w:tcPr>
            <w:tcW w:w="15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6049" w:type="dxa"/>
            <w:gridSpan w:val="2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08.07.2019 р.</w:t>
            </w:r>
          </w:p>
        </w:tc>
      </w:tr>
      <w:tr>
        <w:trPr>
          <w:cantSplit w:val="0"/>
          <w:trHeight w:val="264" w:hRule="atLeast"/>
        </w:trPr>
        <w:tc>
          <w:tcPr>
            <w:tcW w:w="226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/>
        </w:tc>
        <w:tc>
          <w:tcPr>
            <w:tcW w:w="15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Номер запису</w:t>
            </w:r>
          </w:p>
        </w:tc>
        <w:tc>
          <w:tcPr>
            <w:tcW w:w="6049" w:type="dxa"/>
            <w:gridSpan w:val="2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32374875</w:t>
            </w:r>
          </w:p>
        </w:tc>
      </w:tr>
      <w:tr>
        <w:trPr>
          <w:cantSplit w:val="0"/>
          <w:trHeight w:val="264" w:hRule="atLeast"/>
        </w:trPr>
        <w:tc>
          <w:tcPr>
            <w:tcW w:w="2268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/>
        </w:tc>
        <w:tc>
          <w:tcPr>
            <w:tcW w:w="15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Реєстр. номер</w:t>
            </w:r>
          </w:p>
        </w:tc>
        <w:tc>
          <w:tcPr>
            <w:tcW w:w="6049" w:type="dxa"/>
            <w:gridSpan w:val="2"/>
            <w:vAlign w:val="center"/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1871256551103</w:t>
            </w:r>
          </w:p>
        </w:tc>
      </w:tr>
      <w:tr>
        <w:trPr>
          <w:cantSplit w:val="0"/>
          <w:trHeight w:val="264" w:hRule="atLeast"/>
        </w:trPr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Технічний стан</w:t>
            </w:r>
          </w:p>
        </w:tc>
        <w:tc>
          <w:tcPr>
            <w:tcW w:w="760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Технічний стан задовільний. Орендар зобов’язується самостійно  сплачувати компенсацію витрат на оплату спожитих комунальних послуг постачальникам та іншим зацікавленим організаціям, самостійно укладати відповідні угоди про надання комунальних послуг та/або відкривати власні особові рахунки.</w:t>
            </w:r>
          </w:p>
        </w:tc>
      </w:tr>
      <w:tr>
        <w:trPr>
          <w:cantSplit w:val="0"/>
          <w:trHeight w:val="455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Об’єкт є пам’яткою культурної спадщини (так/ні)</w:t>
            </w:r>
          </w:p>
        </w:tc>
        <w:tc>
          <w:tcPr>
            <w:tcW w:w="6049" w:type="dxa"/>
            <w:gridSpan w:val="2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</w:tr>
      <w:tr>
        <w:trPr>
          <w:cantSplit w:val="0"/>
          <w:trHeight w:val="528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Цільове призначення</w:t>
            </w:r>
          </w:p>
        </w:tc>
        <w:tc>
          <w:tcPr>
            <w:tcW w:w="6049" w:type="dxa"/>
            <w:gridSpan w:val="2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Будь-яке цільове призначення, крім 11 категорії</w:t>
            </w:r>
            <w:r>
              <w:rPr>
                <w:highlight w:val="yellow"/>
                <w:lang w:val="uk-ua"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Пропонований строк оренди</w:t>
            </w:r>
          </w:p>
        </w:tc>
        <w:tc>
          <w:tcPr>
            <w:tcW w:w="6049" w:type="dxa"/>
            <w:gridSpan w:val="2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</w:tr>
      <w:tr>
        <w:trPr>
          <w:cantSplit w:val="0"/>
          <w:trHeight w:val="270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До оголошення додається:</w:t>
            </w:r>
          </w:p>
        </w:tc>
        <w:tc>
          <w:tcPr>
            <w:tcW w:w="6049" w:type="dxa"/>
            <w:gridSpan w:val="2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Проект договору оренди, фотографічні зображення, поверховий план об’єкта оренди.</w:t>
            </w:r>
          </w:p>
        </w:tc>
      </w:tr>
      <w:tr>
        <w:trPr>
          <w:cantSplit w:val="0"/>
          <w:trHeight w:val="0" w:hRule="auto"/>
        </w:trPr>
        <w:tc>
          <w:tcPr>
            <w:tcW w:w="9876" w:type="dxa"/>
            <w:gridSpan w:val="4"/>
            <w:tmTcPr id="1766397961" protected="0"/>
          </w:tcPr>
          <w:p>
            <w:pPr>
              <w:numPr>
                <w:ilvl w:val="0"/>
                <w:numId w:val="8"/>
              </w:numPr>
              <w:ind w:left="720" w:hanging="360"/>
              <w:spacing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Умови оренди майна</w:t>
            </w:r>
          </w:p>
        </w:tc>
      </w:tr>
      <w:tr>
        <w:trPr>
          <w:cantSplit w:val="0"/>
          <w:trHeight w:val="235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Цільове призначення</w:t>
            </w:r>
          </w:p>
        </w:tc>
        <w:tc>
          <w:tcPr>
            <w:tcW w:w="6049" w:type="dxa"/>
            <w:gridSpan w:val="2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Будь-яке цільове призначення, крім 11 категорії</w:t>
            </w:r>
          </w:p>
        </w:tc>
      </w:tr>
      <w:tr>
        <w:trPr>
          <w:cantSplit w:val="0"/>
          <w:trHeight w:val="720" w:hRule="atLeast"/>
        </w:trPr>
        <w:tc>
          <w:tcPr>
            <w:tcW w:w="3827" w:type="dxa"/>
            <w:gridSpan w:val="2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Стартова орендна плата без ПДВ </w:t>
            </w:r>
            <w:r>
              <w:rPr>
                <w:b/>
                <w:lang w:val="uk-ua"/>
              </w:rPr>
              <w:t xml:space="preserve">за місяць. </w:t>
            </w:r>
            <w:r>
              <w:rPr>
                <w:lang w:val="uk-ua"/>
              </w:rPr>
            </w:r>
          </w:p>
        </w:tc>
        <w:tc>
          <w:tcPr>
            <w:tcW w:w="6049" w:type="dxa"/>
            <w:gridSpan w:val="2"/>
            <w:vAlign w:val="center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3 346,68 грн. з </w:t>
            </w:r>
            <w:r>
              <w:rPr>
                <w:lang w:val="uk-ua"/>
              </w:rPr>
              <w:t xml:space="preserve">ПДВ – </w:t>
            </w:r>
            <w:r>
              <w:rPr>
                <w:shd w:val="clear" w:fill="ffffff"/>
                <w:lang w:val="uk-ua"/>
              </w:rPr>
              <w:t>на рівні останньої місячної орендної плати, встановленої договорами, із урахуванням її індексації</w:t>
            </w:r>
            <w:r>
              <w:rPr>
                <w:lang w:val="uk-ua"/>
              </w:rPr>
              <w:t>.</w:t>
            </w:r>
          </w:p>
        </w:tc>
      </w:tr>
      <w:tr>
        <w:trPr>
          <w:cantSplit w:val="0"/>
          <w:trHeight w:val="264" w:hRule="atLeast"/>
        </w:trPr>
        <w:tc>
          <w:tcPr>
            <w:tcW w:w="3827" w:type="dxa"/>
            <w:gridSpan w:val="2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Строк оренди</w:t>
            </w:r>
          </w:p>
        </w:tc>
        <w:tc>
          <w:tcPr>
            <w:tcW w:w="6049" w:type="dxa"/>
            <w:gridSpan w:val="2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</w:tr>
      <w:tr>
        <w:trPr>
          <w:cantSplit w:val="0"/>
          <w:trHeight w:val="264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Вимоги до учасника:</w:t>
            </w:r>
          </w:p>
        </w:tc>
        <w:tc>
          <w:tcPr>
            <w:tcW w:w="6049" w:type="dxa"/>
            <w:gridSpan w:val="2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Переможець аукціону  повинен відповідати вимогам ст. 4 Закону України «Про оренду державного та комунального майна»;</w:t>
            </w:r>
          </w:p>
        </w:tc>
      </w:tr>
      <w:tr>
        <w:trPr>
          <w:cantSplit w:val="0"/>
          <w:trHeight w:val="264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Контактні данні Орендодавця:</w:t>
            </w:r>
          </w:p>
        </w:tc>
        <w:tc>
          <w:tcPr>
            <w:tcW w:w="6049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ради: Одеська обл., м. Білгород-Дністровський, вул. Незалежності,10.  Контактна особа: Наказнова Валерія, тел. 0673764333, 3-52-52  https://ukvbd.info, </w:t>
            </w:r>
            <w:hyperlink r:id="rId10" w:history="1">
              <w:r>
                <w:rPr>
                  <w:lang w:val="uk-ua"/>
                </w:rPr>
                <w:t>оzr-uks@i.ua</w:t>
              </w:r>
            </w:hyperlink>
            <w:r>
              <w:rPr>
                <w:lang w:val="uk-ua"/>
              </w:rPr>
              <w:t>.</w:t>
            </w:r>
          </w:p>
        </w:tc>
      </w:tr>
      <w:tr>
        <w:trPr>
          <w:cantSplit w:val="0"/>
          <w:trHeight w:val="645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Час і місце огляду об’єкта:  </w:t>
            </w:r>
          </w:p>
        </w:tc>
        <w:tc>
          <w:tcPr>
            <w:tcW w:w="6049" w:type="dxa"/>
            <w:gridSpan w:val="2"/>
            <w:vAlign w:val="center"/>
            <w:tcBorders>
              <w:lef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з 9:00 год. до 16:00 год. у робочі дні  за адресою: вул. Армійська, 2, м. Білгород-Дністровський, Одеська область.</w:t>
            </w:r>
          </w:p>
        </w:tc>
      </w:tr>
      <w:tr>
        <w:trPr>
          <w:cantSplit w:val="0"/>
          <w:trHeight w:val="570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Згода на укладання договору суборенди</w:t>
            </w:r>
          </w:p>
        </w:tc>
        <w:tc>
          <w:tcPr>
            <w:tcW w:w="6049" w:type="dxa"/>
            <w:gridSpan w:val="2"/>
            <w:vAlign w:val="center"/>
            <w:tcBorders>
              <w:lef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Не надається</w:t>
            </w:r>
          </w:p>
        </w:tc>
      </w:tr>
      <w:tr>
        <w:trPr>
          <w:cantSplit w:val="0"/>
          <w:trHeight w:val="585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Копія охоронного договору</w:t>
            </w:r>
          </w:p>
        </w:tc>
        <w:tc>
          <w:tcPr>
            <w:tcW w:w="6049" w:type="dxa"/>
            <w:gridSpan w:val="2"/>
            <w:vAlign w:val="center"/>
            <w:tcBorders>
              <w:lef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 є об’єктом пам’ятки культурної спадщини.  </w:t>
            </w:r>
          </w:p>
        </w:tc>
      </w:tr>
      <w:tr>
        <w:trPr>
          <w:cantSplit w:val="0"/>
          <w:trHeight w:val="617" w:hRule="atLeast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Компенсація витрат переможцем</w:t>
            </w:r>
          </w:p>
        </w:tc>
        <w:tc>
          <w:tcPr>
            <w:tcW w:w="6049" w:type="dxa"/>
            <w:gridSpan w:val="2"/>
            <w:vAlign w:val="center"/>
            <w:tcBorders>
              <w:lef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9876" w:type="dxa"/>
            <w:gridSpan w:val="4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numPr>
                <w:ilvl w:val="0"/>
                <w:numId w:val="8"/>
              </w:numPr>
              <w:ind w:left="720" w:hanging="360"/>
              <w:spacing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Інформація про аукціон:</w:t>
            </w:r>
          </w:p>
        </w:tc>
      </w:tr>
      <w:tr>
        <w:trPr>
          <w:cantSplit w:val="0"/>
          <w:trHeight w:val="0" w:hRule="auto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Спосіб аукціону:</w:t>
            </w:r>
          </w:p>
        </w:tc>
        <w:tc>
          <w:tcPr>
            <w:tcW w:w="6049" w:type="dxa"/>
            <w:gridSpan w:val="2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Аукціон з підвищення стартової на продовження договору оренди нерухомого майна, за результатами якого чинний договір оренди може бути продовжений з існуючими орендарем, або укладений з новим.</w:t>
            </w:r>
          </w:p>
        </w:tc>
      </w:tr>
      <w:tr>
        <w:trPr>
          <w:cantSplit w:val="0"/>
          <w:trHeight w:val="0" w:hRule="auto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Дата проведення аукціону</w:t>
            </w:r>
          </w:p>
        </w:tc>
        <w:tc>
          <w:tcPr>
            <w:tcW w:w="6049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Через 30 днів з дня оприлюднення  оголошення</w:t>
            </w:r>
          </w:p>
        </w:tc>
      </w:tr>
      <w:tr>
        <w:trPr>
          <w:cantSplit w:val="0"/>
          <w:trHeight w:val="0" w:hRule="auto"/>
        </w:trPr>
        <w:tc>
          <w:tcPr>
            <w:tcW w:w="382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Кінцевий строк подання заяви на участь</w:t>
            </w:r>
          </w:p>
        </w:tc>
        <w:tc>
          <w:tcPr>
            <w:tcW w:w="6049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</w:tcBorders>
            <w:tmTcPr id="1766397961" protected="0"/>
          </w:tcPr>
          <w:p>
            <w:pPr>
              <w:rPr>
                <w:b/>
                <w:lang w:val="uk-ua"/>
              </w:rPr>
            </w:pPr>
            <w:r>
              <w:rPr>
                <w:lang w:val="uk-ua"/>
              </w:rPr>
              <w:t>з 19 години 30 хвилин до 20 години 30 хвилин дня, що передує дню проведення електронного аукціону.</w:t>
            </w:r>
            <w:r>
              <w:rPr>
                <w:b/>
                <w:lang w:val="uk-ua"/>
              </w:rPr>
            </w:r>
          </w:p>
        </w:tc>
      </w:tr>
      <w:tr>
        <w:trPr>
          <w:cantSplit w:val="0"/>
          <w:trHeight w:val="1948" w:hRule="atLeast"/>
        </w:trPr>
        <w:tc>
          <w:tcPr>
            <w:tcW w:w="9876" w:type="dxa"/>
            <w:gridSpan w:val="4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ind w:firstLine="709"/>
              <w:spacing/>
              <w:jc w:val="both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У разі визнання аукціону, оголошеного відповідно до п. 7 цього рішення  таким, що не відбувся включити  об’єкти оренди визначені в п. 1 цього рішення з  Переліку першого типу, а Управлінню комунальної власності Департаменту економіки та розвитку інфраструктури міста Білгород-Дністровської міської ради доручити прийняти рішення у формі наказу щодо відміни електронного аукціону в зв’язку із включенням об’єкта оренди з Переліку першого типу.  </w:t>
            </w:r>
            <w:r>
              <w:rPr>
                <w:sz w:val="26"/>
                <w:szCs w:val="26"/>
                <w:lang w:val="uk-ua"/>
              </w:rPr>
            </w:r>
          </w:p>
          <w:p>
            <w:pPr>
              <w: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</w:tr>
      <w:tr>
        <w:trPr>
          <w:cantSplit w:val="0"/>
          <w:trHeight w:val="383" w:hRule="atLeast"/>
        </w:trPr>
        <w:tc>
          <w:tcPr>
            <w:tcW w:w="9876" w:type="dxa"/>
            <w:gridSpan w:val="4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numPr>
                <w:ilvl w:val="0"/>
                <w:numId w:val="8"/>
              </w:numPr>
              <w:ind w:left="720" w:hanging="360"/>
              <w:spacing/>
              <w:contextualSpacing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Інформація про умови на підставі яких проводиться аукціон</w:t>
            </w:r>
            <w:r>
              <w:rPr>
                <w:lang w:val="uk-ua"/>
              </w:rPr>
            </w:r>
          </w:p>
        </w:tc>
      </w:tr>
      <w:tr>
        <w:trPr>
          <w:cantSplit w:val="0"/>
          <w:trHeight w:val="597" w:hRule="atLeast"/>
        </w:trPr>
        <w:tc>
          <w:tcPr>
            <w:tcW w:w="607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Розмір мінімального кроку підвищення стартової орендної плати під час аукціону 1% (грн.)</w:t>
            </w:r>
          </w:p>
        </w:tc>
        <w:tc>
          <w:tcPr>
            <w:tcW w:w="378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33,47 грн.</w:t>
            </w:r>
          </w:p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cantSplit w:val="0"/>
          <w:trHeight w:val="390" w:hRule="atLeast"/>
        </w:trPr>
        <w:tc>
          <w:tcPr>
            <w:tcW w:w="2268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Розмір гарантійного внеску (грн.)</w:t>
            </w:r>
            <w:r>
              <w:rPr>
                <w:highlight w:val="yellow"/>
                <w:lang w:val="uk-ua"/>
              </w:rPr>
            </w:r>
          </w:p>
        </w:tc>
        <w:tc>
          <w:tcPr>
            <w:tcW w:w="3810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Для чинного орендаря (грн.) 0,5 розміру мінімальної заробітної плати</w:t>
            </w:r>
          </w:p>
        </w:tc>
        <w:tc>
          <w:tcPr>
            <w:tcW w:w="3798" w:type="dxa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4 000,00 грн</w:t>
            </w:r>
          </w:p>
        </w:tc>
      </w:tr>
      <w:tr>
        <w:trPr>
          <w:cantSplit w:val="0"/>
          <w:trHeight w:val="435" w:hRule="atLeast"/>
        </w:trPr>
        <w:tc>
          <w:tcPr>
            <w:tcW w:w="2268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/>
        </w:tc>
        <w:tc>
          <w:tcPr>
            <w:tcW w:w="3810" w:type="dxa"/>
            <w:gridSpan w:val="2"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Для іншого учасника (грн.)</w:t>
            </w:r>
            <w:r>
              <w:rPr>
                <w:shd w:val="clear" w:fill="ffffff"/>
                <w:lang w:val="uk-ua"/>
              </w:rPr>
              <w:t xml:space="preserve"> стартова орендна плата за два місяці</w:t>
            </w:r>
            <w:r>
              <w:rPr>
                <w:lang w:val="uk-ua"/>
              </w:rPr>
            </w:r>
          </w:p>
        </w:tc>
        <w:tc>
          <w:tcPr>
            <w:tcW w:w="3798" w:type="dxa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6 693,36 грн. </w:t>
            </w:r>
          </w:p>
        </w:tc>
      </w:tr>
      <w:tr>
        <w:trPr>
          <w:cantSplit w:val="0"/>
          <w:trHeight w:val="425" w:hRule="atLeast"/>
        </w:trPr>
        <w:tc>
          <w:tcPr>
            <w:tcW w:w="607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Розмір реєстраційного внеску (грн.) 0,1 </w:t>
            </w:r>
            <w:r>
              <w:rPr>
                <w:shd w:val="clear" w:fill="ffffff"/>
                <w:lang w:val="uk-ua"/>
              </w:rPr>
              <w:t>розміру мінімальної заробітної плати</w:t>
            </w:r>
            <w:r>
              <w:rPr>
                <w:lang w:val="uk-ua"/>
              </w:rPr>
            </w:r>
          </w:p>
        </w:tc>
        <w:tc>
          <w:tcPr>
            <w:tcW w:w="3798" w:type="dxa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800,00</w:t>
            </w:r>
          </w:p>
        </w:tc>
      </w:tr>
      <w:tr>
        <w:trPr>
          <w:cantSplit w:val="0"/>
          <w:trHeight w:val="390" w:hRule="atLeast"/>
        </w:trPr>
        <w:tc>
          <w:tcPr>
            <w:tcW w:w="607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кроків аукціону за методом покрокового зниження стартової орендної плати</w:t>
            </w:r>
          </w:p>
        </w:tc>
        <w:tc>
          <w:tcPr>
            <w:tcW w:w="3798" w:type="dxa"/>
            <w:vAlign w:val="center"/>
            <w:tcBorders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>
        <w:trPr>
          <w:cantSplit w:val="0"/>
          <w:trHeight w:val="347" w:hRule="atLeast"/>
        </w:trPr>
        <w:tc>
          <w:tcPr>
            <w:tcW w:w="607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Період між аукціонами (днів) </w:t>
            </w:r>
          </w:p>
        </w:tc>
        <w:tc>
          <w:tcPr>
            <w:tcW w:w="3798" w:type="dxa"/>
            <w:vAlign w:val="center"/>
            <w:tmTcPr id="1766397961" protected="0"/>
          </w:tcPr>
          <w:p>
            <w:pPr>
              <w: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>
        <w:trPr>
          <w:cantSplit w:val="0"/>
          <w:trHeight w:val="975" w:hRule="atLeast"/>
        </w:trPr>
        <w:tc>
          <w:tcPr>
            <w:tcW w:w="9876" w:type="dxa"/>
            <w:gridSpan w:val="4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6397961" protected="0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Додаткові умови: </w:t>
            </w:r>
          </w:p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1. Якщо між датою визначення стартової орендної плати і датою підписання акту приймання-передачі минуло більш як один повний календарний місяць, то розмір орендної плати за перший місяць оренди встановлюється шляхом коригування орендної плати за базовий місяць на індекс інфляції у місяцях, що минули з дати визначення стартової орендної плати за базовий місяць. </w:t>
            </w:r>
          </w:p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  <w:t>2. Додаткова інформація щодо проведення аукціону, контактна інформація та банківські реквізити зазначаються Управлінням комунальної власності Департаменту економіки та розвитку інфраструктури міста Білгород-Дністровської міської ради під час оприлюднення оголошення про проведення аукціону на право оренди.</w:t>
            </w:r>
          </w:p>
          <w:p>
            <w:pPr>
              <w:spacing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spacing/>
        <w:jc w:val="center"/>
        <w:tabs defTabSz="709">
          <w:tab w:val="left" w:pos="360" w:leader="none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spacing/>
        <w:jc w:val="center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spacing/>
        <w:jc w:val="center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spacing/>
        <w:jc w:val="center"/>
        <w:rPr>
          <w:lang w:val="uk-ua"/>
        </w:rPr>
      </w:pPr>
      <w:r>
        <w:rPr>
          <w:lang w:val="uk-ua"/>
        </w:rPr>
        <w:t>___________________________________________________________________</w:t>
      </w:r>
    </w:p>
    <w:p>
      <w:pPr>
        <w:spacing/>
        <w:jc w:val="center"/>
        <w:rPr>
          <w:lang w:val="uk-ua"/>
        </w:rPr>
      </w:pPr>
      <w:r>
        <w:rPr>
          <w:lang w:val="uk-ua"/>
        </w:rPr>
      </w:r>
    </w:p>
    <w:p>
      <w:pPr>
        <w:spacing/>
        <w:jc w:val="center"/>
        <w:rPr>
          <w:lang w:val="uk-ua"/>
        </w:rPr>
      </w:pPr>
      <w:r>
        <w:rPr>
          <w:lang w:val="uk-ua"/>
        </w:rPr>
      </w:r>
    </w:p>
    <w:p>
      <w:pPr>
        <w:spacing/>
        <w:jc w:val="center"/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Олександр СКАЛОЗУБ</w:t>
      </w:r>
    </w:p>
    <w:p>
      <w:pPr>
        <w:spacing/>
        <w:jc w:val="center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spacing/>
        <w:jc w:val="center"/>
        <w:rPr>
          <w:color w:val="ff0000"/>
          <w:lang w:val="uk-ua"/>
        </w:rPr>
      </w:pPr>
      <w:r>
        <w:rPr>
          <w:color w:val="ff0000"/>
          <w:lang w:val="uk-ua"/>
        </w:rPr>
      </w:r>
    </w:p>
    <w:p>
      <w:pPr>
        <w:spacing/>
        <w:jc w:val="center"/>
        <w:rPr>
          <w:color w:val="ff0000"/>
          <w:lang w:val="uk-ua"/>
        </w:rPr>
      </w:pPr>
      <w:r>
        <w:rPr>
          <w:color w:val="ff0000"/>
          <w:lang w:val="uk-u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1"/>
      <w:type w:val="nextPage"/>
      <w:pgSz w:h="16838" w:w="11906"/>
      <w:pgMar w:left="1701" w:top="993" w:right="566" w:bottom="709" w:header="709" w:footer="0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Tahoma">
    <w:panose1 w:val="020B060403050404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8"/>
      <w:rPr>
        <w:lang w:val="uk-ua"/>
      </w:rPr>
    </w:pPr>
    <w:r>
      <w:rPr>
        <w:lang w:val="uk-ua"/>
      </w:rPr>
      <w:tab/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8"/>
      <w:rPr>
        <w:lang w:val="uk-ua"/>
      </w:rPr>
    </w:pPr>
    <w:r>
      <w:rPr>
        <w:lang w:val="uk-ua"/>
      </w:rPr>
      <w:tab/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Numbered list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Numbered list 3"/>
    <w:lvl w:ilvl="0">
      <w:start w:val="1"/>
      <w:numFmt w:val="decimal"/>
      <w:suff w:val="tab"/>
      <w:lvlText w:val="%1."/>
      <w:lvlJc w:val="left"/>
      <w:pPr>
        <w:ind w:left="786" w:hanging="0"/>
      </w:pPr>
    </w:lvl>
    <w:lvl w:ilvl="1">
      <w:start w:val="1"/>
      <w:numFmt w:val="lowerLetter"/>
      <w:suff w:val="tab"/>
      <w:lvlText w:val="%2."/>
      <w:lvlJc w:val="left"/>
      <w:pPr>
        <w:ind w:left="1506" w:hanging="0"/>
      </w:pPr>
    </w:lvl>
    <w:lvl w:ilvl="2">
      <w:start w:val="1"/>
      <w:numFmt w:val="lowerRoman"/>
      <w:suff w:val="tab"/>
      <w:lvlText w:val="%3."/>
      <w:lvlJc w:val="left"/>
      <w:pPr>
        <w:ind w:left="2406" w:hanging="0"/>
      </w:pPr>
    </w:lvl>
    <w:lvl w:ilvl="3">
      <w:start w:val="1"/>
      <w:numFmt w:val="decimal"/>
      <w:suff w:val="tab"/>
      <w:lvlText w:val="%4."/>
      <w:lvlJc w:val="left"/>
      <w:pPr>
        <w:ind w:left="2946" w:hanging="0"/>
      </w:pPr>
    </w:lvl>
    <w:lvl w:ilvl="4">
      <w:start w:val="1"/>
      <w:numFmt w:val="lowerLetter"/>
      <w:suff w:val="tab"/>
      <w:lvlText w:val="%5."/>
      <w:lvlJc w:val="left"/>
      <w:pPr>
        <w:ind w:left="3666" w:hanging="0"/>
      </w:pPr>
    </w:lvl>
    <w:lvl w:ilvl="5">
      <w:start w:val="1"/>
      <w:numFmt w:val="lowerRoman"/>
      <w:suff w:val="tab"/>
      <w:lvlText w:val="%6."/>
      <w:lvlJc w:val="left"/>
      <w:pPr>
        <w:ind w:left="4566" w:hanging="0"/>
      </w:pPr>
    </w:lvl>
    <w:lvl w:ilvl="6">
      <w:start w:val="1"/>
      <w:numFmt w:val="decimal"/>
      <w:suff w:val="tab"/>
      <w:lvlText w:val="%7."/>
      <w:lvlJc w:val="left"/>
      <w:pPr>
        <w:ind w:left="5106" w:hanging="0"/>
      </w:pPr>
    </w:lvl>
    <w:lvl w:ilvl="7">
      <w:start w:val="1"/>
      <w:numFmt w:val="lowerLetter"/>
      <w:suff w:val="tab"/>
      <w:lvlText w:val="%8."/>
      <w:lvlJc w:val="left"/>
      <w:pPr>
        <w:ind w:left="5826" w:hanging="0"/>
      </w:pPr>
    </w:lvl>
    <w:lvl w:ilvl="8">
      <w:start w:val="1"/>
      <w:numFmt w:val="lowerRoman"/>
      <w:suff w:val="tab"/>
      <w:lvlText w:val="%9."/>
      <w:lvlJc w:val="left"/>
      <w:pPr>
        <w:ind w:left="6726" w:hanging="0"/>
      </w:pPr>
    </w:lvl>
  </w:abstractNum>
  <w:abstractNum w:abstractNumId="4">
    <w:multiLevelType w:val="hybridMultilevel"/>
    <w:name w:val="Numbered list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Numbered list 5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Numbered list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">
    <w:multiLevelType w:val="hybridMultilevel"/>
    <w:name w:val="Numbered list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Numbered list 8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Numbered list 9"/>
    <w:lvl w:ilvl="0">
      <w:start w:val="1"/>
      <w:numFmt w:val="decimal"/>
      <w:suff w:val="tab"/>
      <w:lvlText w:val="%1."/>
      <w:lvlJc w:val="left"/>
      <w:pPr>
        <w:ind w:left="360" w:hanging="0"/>
      </w:pPr>
      <w:rPr>
        <w:color w:val="auto"/>
      </w:rPr>
    </w:lvl>
    <w:lvl w:ilvl="1">
      <w:start w:val="2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360" w:hanging="0"/>
      </w:pPr>
    </w:lvl>
    <w:lvl w:ilvl="3">
      <w:start w:val="1"/>
      <w:numFmt w:val="decimal"/>
      <w:suff w:val="tab"/>
      <w:lvlText w:val="%1.%2.%3.%4."/>
      <w:lvlJc w:val="left"/>
      <w:pPr>
        <w:ind w:left="360" w:hanging="0"/>
      </w:pPr>
    </w:lvl>
    <w:lvl w:ilvl="4">
      <w:start w:val="1"/>
      <w:numFmt w:val="decimal"/>
      <w:suff w:val="tab"/>
      <w:lvlText w:val="%1.%2.%3.%4.%5."/>
      <w:lvlJc w:val="left"/>
      <w:pPr>
        <w:ind w:left="360" w:hanging="0"/>
      </w:pPr>
    </w:lvl>
    <w:lvl w:ilvl="5">
      <w:start w:val="1"/>
      <w:numFmt w:val="decimal"/>
      <w:suff w:val="tab"/>
      <w:lvlText w:val="%1.%2.%3.%4.%5.%6."/>
      <w:lvlJc w:val="left"/>
      <w:pPr>
        <w:ind w:left="360" w:hanging="0"/>
      </w:pPr>
    </w:lvl>
    <w:lvl w:ilvl="6">
      <w:start w:val="1"/>
      <w:numFmt w:val="decimal"/>
      <w:suff w:val="tab"/>
      <w:lvlText w:val="%1.%2.%3.%4.%5.%6.%7."/>
      <w:lvlJc w:val="left"/>
      <w:pPr>
        <w:ind w:left="360" w:hanging="0"/>
      </w:pPr>
    </w:lvl>
    <w:lvl w:ilvl="7">
      <w:start w:val="1"/>
      <w:numFmt w:val="decimal"/>
      <w:suff w:val="tab"/>
      <w:lvlText w:val="%1.%2.%3.%4.%5.%6.%7.%8."/>
      <w:lvlJc w:val="left"/>
      <w:pPr>
        <w:ind w:left="36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60" w:hanging="0"/>
      </w:pPr>
    </w:lvl>
  </w:abstractNum>
  <w:abstractNum w:abstractNumId="10">
    <w:multiLevelType w:val="hybridMultilevel"/>
    <w:name w:val="Numbered list 1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1">
    <w:multiLevelType w:val="hybridMultilevel"/>
    <w:name w:val="Numbered list 11"/>
    <w:lvl w:ilvl="0">
      <w:start w:val="1"/>
      <w:numFmt w:val="decimal"/>
      <w:suff w:val="tab"/>
      <w:lvlText w:val="%1."/>
      <w:lvlJc w:val="left"/>
      <w:pPr>
        <w:ind w:left="705" w:hanging="0"/>
      </w:pPr>
    </w:lvl>
    <w:lvl w:ilvl="1">
      <w:start w:val="1"/>
      <w:numFmt w:val="lowerLetter"/>
      <w:suff w:val="tab"/>
      <w:lvlText w:val="%2."/>
      <w:lvlJc w:val="left"/>
      <w:pPr>
        <w:ind w:left="1425" w:hanging="0"/>
      </w:pPr>
    </w:lvl>
    <w:lvl w:ilvl="2">
      <w:start w:val="1"/>
      <w:numFmt w:val="lowerRoman"/>
      <w:suff w:val="tab"/>
      <w:lvlText w:val="%3."/>
      <w:lvlJc w:val="left"/>
      <w:pPr>
        <w:ind w:left="2325" w:hanging="0"/>
      </w:pPr>
    </w:lvl>
    <w:lvl w:ilvl="3">
      <w:start w:val="1"/>
      <w:numFmt w:val="decimal"/>
      <w:suff w:val="tab"/>
      <w:lvlText w:val="%4."/>
      <w:lvlJc w:val="left"/>
      <w:pPr>
        <w:ind w:left="2865" w:hanging="0"/>
      </w:pPr>
    </w:lvl>
    <w:lvl w:ilvl="4">
      <w:start w:val="1"/>
      <w:numFmt w:val="lowerLetter"/>
      <w:suff w:val="tab"/>
      <w:lvlText w:val="%5."/>
      <w:lvlJc w:val="left"/>
      <w:pPr>
        <w:ind w:left="3585" w:hanging="0"/>
      </w:pPr>
    </w:lvl>
    <w:lvl w:ilvl="5">
      <w:start w:val="1"/>
      <w:numFmt w:val="lowerRoman"/>
      <w:suff w:val="tab"/>
      <w:lvlText w:val="%6."/>
      <w:lvlJc w:val="left"/>
      <w:pPr>
        <w:ind w:left="4485" w:hanging="0"/>
      </w:pPr>
    </w:lvl>
    <w:lvl w:ilvl="6">
      <w:start w:val="1"/>
      <w:numFmt w:val="decimal"/>
      <w:suff w:val="tab"/>
      <w:lvlText w:val="%7."/>
      <w:lvlJc w:val="left"/>
      <w:pPr>
        <w:ind w:left="5025" w:hanging="0"/>
      </w:pPr>
    </w:lvl>
    <w:lvl w:ilvl="7">
      <w:start w:val="1"/>
      <w:numFmt w:val="lowerLetter"/>
      <w:suff w:val="tab"/>
      <w:lvlText w:val="%8."/>
      <w:lvlJc w:val="left"/>
      <w:pPr>
        <w:ind w:left="5745" w:hanging="0"/>
      </w:pPr>
    </w:lvl>
    <w:lvl w:ilvl="8">
      <w:start w:val="1"/>
      <w:numFmt w:val="lowerRoman"/>
      <w:suff w:val="tab"/>
      <w:lvlText w:val="%9."/>
      <w:lvlJc w:val="left"/>
      <w:pPr>
        <w:ind w:left="6645" w:hanging="0"/>
      </w:pPr>
    </w:lvl>
  </w:abstractNum>
  <w:abstractNum w:abstractNumId="12">
    <w:multiLevelType w:val="hybridMultilevel"/>
    <w:name w:val="Numbered list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3">
    <w:multiLevelType w:val="hybridMultilevel"/>
    <w:name w:val="Numbered list 1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4">
    <w:multiLevelType w:val="hybridMultilevel"/>
    <w:name w:val="Numbered list 14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5">
    <w:multiLevelType w:val="hybridMultilevel"/>
    <w:name w:val="Numbered list 1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6">
    <w:multiLevelType w:val="hybridMultilevel"/>
    <w:name w:val="Numbered list 1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7">
    <w:multiLevelType w:val="hybridMultilevel"/>
    <w:name w:val="Numbered list 17"/>
    <w:lvl w:ilvl="0">
      <w:start w:val="1"/>
      <w:numFmt w:val="decimal"/>
      <w:suff w:val="tab"/>
      <w:lvlText w:val="%1."/>
      <w:lvlJc w:val="left"/>
      <w:pPr>
        <w:ind w:left="360" w:hanging="0"/>
      </w:pPr>
      <w:rPr>
        <w:color w:val="auto"/>
        <w:sz w:val="26"/>
        <w:szCs w:val="26"/>
      </w:rPr>
    </w:lvl>
    <w:lvl w:ilvl="1">
      <w:start w:val="2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360" w:hanging="0"/>
      </w:pPr>
    </w:lvl>
    <w:lvl w:ilvl="3">
      <w:start w:val="1"/>
      <w:numFmt w:val="decimal"/>
      <w:suff w:val="tab"/>
      <w:lvlText w:val="%1.%2.%3.%4."/>
      <w:lvlJc w:val="left"/>
      <w:pPr>
        <w:ind w:left="360" w:hanging="0"/>
      </w:pPr>
    </w:lvl>
    <w:lvl w:ilvl="4">
      <w:start w:val="1"/>
      <w:numFmt w:val="decimal"/>
      <w:suff w:val="tab"/>
      <w:lvlText w:val="%1.%2.%3.%4.%5."/>
      <w:lvlJc w:val="left"/>
      <w:pPr>
        <w:ind w:left="360" w:hanging="0"/>
      </w:pPr>
    </w:lvl>
    <w:lvl w:ilvl="5">
      <w:start w:val="1"/>
      <w:numFmt w:val="decimal"/>
      <w:suff w:val="tab"/>
      <w:lvlText w:val="%1.%2.%3.%4.%5.%6."/>
      <w:lvlJc w:val="left"/>
      <w:pPr>
        <w:ind w:left="360" w:hanging="0"/>
      </w:pPr>
    </w:lvl>
    <w:lvl w:ilvl="6">
      <w:start w:val="1"/>
      <w:numFmt w:val="decimal"/>
      <w:suff w:val="tab"/>
      <w:lvlText w:val="%1.%2.%3.%4.%5.%6.%7."/>
      <w:lvlJc w:val="left"/>
      <w:pPr>
        <w:ind w:left="360" w:hanging="0"/>
      </w:pPr>
    </w:lvl>
    <w:lvl w:ilvl="7">
      <w:start w:val="1"/>
      <w:numFmt w:val="decimal"/>
      <w:suff w:val="tab"/>
      <w:lvlText w:val="%1.%2.%3.%4.%5.%6.%7.%8."/>
      <w:lvlJc w:val="left"/>
      <w:pPr>
        <w:ind w:left="36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60" w:hanging="0"/>
      </w:pPr>
    </w:lvl>
  </w:abstractNum>
  <w:abstractNum w:abstractNumId="18">
    <w:multiLevelType w:val="hybridMultilevel"/>
    <w:name w:val="Numbered list 1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9">
    <w:multiLevelType w:val="hybridMultilevel"/>
    <w:name w:val="Numbered list 1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0">
    <w:multiLevelType w:val="hybridMultilevel"/>
    <w:name w:val="Numbered list 20"/>
    <w:lvl w:ilvl="0">
      <w:start w:val="1"/>
      <w:numFmt w:val="decimal"/>
      <w:suff w:val="tab"/>
      <w:lvlText w:val="%1."/>
      <w:lvlJc w:val="left"/>
      <w:pPr>
        <w:ind w:left="705" w:hanging="0"/>
      </w:pPr>
    </w:lvl>
    <w:lvl w:ilvl="1">
      <w:start w:val="1"/>
      <w:numFmt w:val="lowerLetter"/>
      <w:suff w:val="tab"/>
      <w:lvlText w:val="%2."/>
      <w:lvlJc w:val="left"/>
      <w:pPr>
        <w:ind w:left="1425" w:hanging="0"/>
      </w:pPr>
    </w:lvl>
    <w:lvl w:ilvl="2">
      <w:start w:val="1"/>
      <w:numFmt w:val="lowerRoman"/>
      <w:suff w:val="tab"/>
      <w:lvlText w:val="%3."/>
      <w:lvlJc w:val="left"/>
      <w:pPr>
        <w:ind w:left="2325" w:hanging="0"/>
      </w:pPr>
    </w:lvl>
    <w:lvl w:ilvl="3">
      <w:start w:val="1"/>
      <w:numFmt w:val="decimal"/>
      <w:suff w:val="tab"/>
      <w:lvlText w:val="%4."/>
      <w:lvlJc w:val="left"/>
      <w:pPr>
        <w:ind w:left="2865" w:hanging="0"/>
      </w:pPr>
    </w:lvl>
    <w:lvl w:ilvl="4">
      <w:start w:val="1"/>
      <w:numFmt w:val="lowerLetter"/>
      <w:suff w:val="tab"/>
      <w:lvlText w:val="%5."/>
      <w:lvlJc w:val="left"/>
      <w:pPr>
        <w:ind w:left="3585" w:hanging="0"/>
      </w:pPr>
    </w:lvl>
    <w:lvl w:ilvl="5">
      <w:start w:val="1"/>
      <w:numFmt w:val="lowerRoman"/>
      <w:suff w:val="tab"/>
      <w:lvlText w:val="%6."/>
      <w:lvlJc w:val="left"/>
      <w:pPr>
        <w:ind w:left="4485" w:hanging="0"/>
      </w:pPr>
    </w:lvl>
    <w:lvl w:ilvl="6">
      <w:start w:val="1"/>
      <w:numFmt w:val="decimal"/>
      <w:suff w:val="tab"/>
      <w:lvlText w:val="%7."/>
      <w:lvlJc w:val="left"/>
      <w:pPr>
        <w:ind w:left="5025" w:hanging="0"/>
      </w:pPr>
    </w:lvl>
    <w:lvl w:ilvl="7">
      <w:start w:val="1"/>
      <w:numFmt w:val="lowerLetter"/>
      <w:suff w:val="tab"/>
      <w:lvlText w:val="%8."/>
      <w:lvlJc w:val="left"/>
      <w:pPr>
        <w:ind w:left="5745" w:hanging="0"/>
      </w:pPr>
    </w:lvl>
    <w:lvl w:ilvl="8">
      <w:start w:val="1"/>
      <w:numFmt w:val="lowerRoman"/>
      <w:suff w:val="tab"/>
      <w:lvlText w:val="%9."/>
      <w:lvlJc w:val="left"/>
      <w:pPr>
        <w:ind w:left="6645" w:hanging="0"/>
      </w:pPr>
    </w:lvl>
  </w:abstractNum>
  <w:abstractNum w:abstractNumId="21">
    <w:multiLevelType w:val="hybridMultilevel"/>
    <w:name w:val="Numbered list 21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2">
    <w:multiLevelType w:val="hybridMultilevel"/>
    <w:name w:val="Numbered list 22"/>
    <w:lvl w:ilvl="0">
      <w:start w:val="1"/>
      <w:numFmt w:val="decimal"/>
      <w:suff w:val="tab"/>
      <w:lvlText w:val="%1."/>
      <w:lvlJc w:val="left"/>
      <w:pPr>
        <w:ind w:left="705" w:hanging="0"/>
      </w:pPr>
    </w:lvl>
    <w:lvl w:ilvl="1">
      <w:start w:val="1"/>
      <w:numFmt w:val="decimal"/>
      <w:suff w:val="tab"/>
      <w:lvlText w:val="%1.%2"/>
      <w:lvlJc w:val="left"/>
      <w:pPr>
        <w:ind w:left="705" w:hanging="0"/>
      </w:pPr>
    </w:lvl>
    <w:lvl w:ilvl="2">
      <w:start w:val="1"/>
      <w:numFmt w:val="decimal"/>
      <w:suff w:val="tab"/>
      <w:lvlText w:val="%1.%2.%3"/>
      <w:lvlJc w:val="left"/>
      <w:pPr>
        <w:ind w:left="705" w:hanging="0"/>
      </w:pPr>
    </w:lvl>
    <w:lvl w:ilvl="3">
      <w:start w:val="1"/>
      <w:numFmt w:val="decimal"/>
      <w:suff w:val="tab"/>
      <w:lvlText w:val="%1.%2.%3.%4"/>
      <w:lvlJc w:val="left"/>
      <w:pPr>
        <w:ind w:left="705" w:hanging="0"/>
      </w:pPr>
    </w:lvl>
    <w:lvl w:ilvl="4">
      <w:start w:val="1"/>
      <w:numFmt w:val="decimal"/>
      <w:suff w:val="tab"/>
      <w:lvlText w:val="%1.%2.%3.%4.%5"/>
      <w:lvlJc w:val="left"/>
      <w:pPr>
        <w:ind w:left="705" w:hanging="0"/>
      </w:pPr>
    </w:lvl>
    <w:lvl w:ilvl="5">
      <w:start w:val="1"/>
      <w:numFmt w:val="decimal"/>
      <w:suff w:val="tab"/>
      <w:lvlText w:val="%1.%2.%3.%4.%5.%6"/>
      <w:lvlJc w:val="left"/>
      <w:pPr>
        <w:ind w:left="705" w:hanging="0"/>
      </w:pPr>
    </w:lvl>
    <w:lvl w:ilvl="6">
      <w:start w:val="1"/>
      <w:numFmt w:val="decimal"/>
      <w:suff w:val="tab"/>
      <w:lvlText w:val="%1.%2.%3.%4.%5.%6.%7"/>
      <w:lvlJc w:val="left"/>
      <w:pPr>
        <w:ind w:left="705" w:hanging="0"/>
      </w:pPr>
    </w:lvl>
    <w:lvl w:ilvl="7">
      <w:start w:val="1"/>
      <w:numFmt w:val="decimal"/>
      <w:suff w:val="tab"/>
      <w:lvlText w:val="%1.%2.%3.%4.%5.%6.%7.%8"/>
      <w:lvlJc w:val="left"/>
      <w:pPr>
        <w:ind w:left="705" w:hanging="0"/>
      </w:pPr>
    </w:lvl>
    <w:lvl w:ilvl="8">
      <w:start w:val="1"/>
      <w:numFmt w:val="decimal"/>
      <w:suff w:val="tab"/>
      <w:lvlText w:val="%1.%2.%3.%4.%5.%6.%7.%8.%9"/>
      <w:lvlJc w:val="left"/>
      <w:pPr>
        <w:ind w:left="705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9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36"/>
      <w:tmLastPosIdx w:val="6"/>
    </w:tmLastPosCaret>
    <w:tmLastPosAnchor>
      <w:tmLastPosPgfIdx w:val="0"/>
      <w:tmLastPosIdx w:val="0"/>
    </w:tmLastPosAnchor>
    <w:tmLastPosTblRect w:left="0" w:top="0" w:right="0" w:bottom="0"/>
  </w:tmLastPos>
  <w:tmAppRevision w:date="1766397961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4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5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>
    <w:name w:val="Body Text"/>
    <w:qFormat/>
    <w:basedOn w:val="para0"/>
    <w:pPr>
      <w:spacing/>
      <w:jc w:val="both"/>
    </w:pPr>
    <w:rPr>
      <w:szCs w:val="20"/>
    </w:rPr>
  </w:style>
  <w:style w:type="paragraph" w:styleId="para8">
    <w:name w:val="Header"/>
    <w:qFormat/>
    <w:basedOn w:val="para0"/>
    <w:pPr>
      <w:tabs defTabSz="709">
        <w:tab w:val="center" w:pos="4677" w:leader="none"/>
        <w:tab w:val="right" w:pos="9355" w:leader="none"/>
      </w:tabs>
    </w:pPr>
  </w:style>
  <w:style w:type="paragraph" w:styleId="para9">
    <w:name w:val="Footer"/>
    <w:qFormat/>
    <w:basedOn w:val="para0"/>
    <w:pPr>
      <w:tabs defTabSz="709">
        <w:tab w:val="center" w:pos="4677" w:leader="none"/>
        <w:tab w:val="right" w:pos="9355" w:leader="none"/>
      </w:tabs>
    </w:pPr>
  </w:style>
  <w:style w:type="paragraph" w:styleId="para10">
    <w:name w:val="Footnote Text"/>
    <w:qFormat/>
    <w:basedOn w:val="para0"/>
    <w:rPr>
      <w:sz w:val="20"/>
      <w:szCs w:val="20"/>
    </w:rPr>
  </w:style>
  <w:style w:type="paragraph" w:styleId="para11">
    <w:name w:val="List Paragraph"/>
    <w:qFormat/>
    <w:basedOn w:val="para0"/>
    <w:pPr>
      <w:ind w:left="720"/>
      <w:contextualSpacing/>
    </w:pPr>
  </w:style>
  <w:style w:type="paragraph" w:styleId="para12" w:customStyle="1">
    <w:name w:val="rvps17"/>
    <w:qFormat/>
    <w:basedOn w:val="para0"/>
    <w:pPr>
      <w:spacing w:before="100" w:after="100" w:beforeAutospacing="1" w:afterAutospacing="1"/>
    </w:pPr>
    <w:rPr>
      <w:lang w:val="uk-ua"/>
    </w:rPr>
  </w:style>
  <w:style w:type="paragraph" w:styleId="para13" w:customStyle="1">
    <w:name w:val="rvps7"/>
    <w:qFormat/>
    <w:basedOn w:val="para0"/>
    <w:pPr>
      <w:spacing w:before="100" w:after="100" w:beforeAutospacing="1" w:afterAutospacing="1"/>
    </w:pPr>
    <w:rPr>
      <w:lang w:val="uk-ua"/>
    </w:rPr>
  </w:style>
  <w:style w:type="paragraph" w:styleId="para14" w:customStyle="1">
    <w:name w:val="rvps6"/>
    <w:qFormat/>
    <w:basedOn w:val="para0"/>
    <w:pPr>
      <w:spacing w:before="100" w:after="100" w:beforeAutospacing="1" w:afterAutospacing="1"/>
    </w:pPr>
    <w:rPr>
      <w:lang w:val="uk-ua"/>
    </w:rPr>
  </w:style>
  <w:style w:type="character" w:styleId="char0" w:default="1">
    <w:name w:val="Default Paragraph Font"/>
  </w:style>
  <w:style w:type="character" w:styleId="char1" w:customStyle="1">
    <w:name w:val="Основной текст Знак"/>
    <w:rPr>
      <w:sz w:val="24"/>
    </w:rPr>
  </w:style>
  <w:style w:type="character" w:styleId="char2">
    <w:name w:val="Hyperlink"/>
    <w:rPr>
      <w:color w:val="0563c1"/>
      <w:u w:color="auto" w:val="single"/>
    </w:rPr>
  </w:style>
  <w:style w:type="character" w:styleId="char3" w:customStyle="1">
    <w:name w:val="Верхний колонтитул Знак"/>
    <w:rPr>
      <w:sz w:val="24"/>
      <w:szCs w:val="24"/>
      <w:lang w:val="ru-ru"/>
    </w:rPr>
  </w:style>
  <w:style w:type="character" w:styleId="char4" w:customStyle="1">
    <w:name w:val="Нижний колонтитул Знак"/>
    <w:rPr>
      <w:sz w:val="24"/>
      <w:szCs w:val="24"/>
      <w:lang w:val="ru-ru"/>
    </w:rPr>
  </w:style>
  <w:style w:type="character" w:styleId="char5" w:customStyle="1">
    <w:name w:val="Текст сноски Знак"/>
    <w:rPr>
      <w:lang w:val="ru-ru"/>
    </w:rPr>
  </w:style>
  <w:style w:type="character" w:styleId="char6">
    <w:name w:val="Footnote Reference"/>
    <w:rPr>
      <w:rFonts w:ascii="Times New Roman" w:hAnsi="Times New Roman" w:cs="Times New Roman"/>
      <w:vertAlign w:val="superscript"/>
    </w:rPr>
  </w:style>
  <w:style w:type="character" w:styleId="char7" w:customStyle="1">
    <w:name w:val="rvts37"/>
    <w:basedOn w:val="char0"/>
  </w:style>
  <w:style w:type="character" w:styleId="char8" w:customStyle="1">
    <w:name w:val="rvts23"/>
    <w:basedOn w:val="char0"/>
  </w:style>
  <w:style w:type="character" w:styleId="char9" w:customStyle="1">
    <w:name w:val="rvts64"/>
    <w:basedOn w:val="char0"/>
  </w:style>
  <w:style w:type="character" w:styleId="char10" w:customStyle="1">
    <w:name w:val="rvts9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4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5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>
    <w:name w:val="Body Text"/>
    <w:qFormat/>
    <w:basedOn w:val="para0"/>
    <w:pPr>
      <w:spacing/>
      <w:jc w:val="both"/>
    </w:pPr>
    <w:rPr>
      <w:szCs w:val="20"/>
    </w:rPr>
  </w:style>
  <w:style w:type="paragraph" w:styleId="para8">
    <w:name w:val="Header"/>
    <w:qFormat/>
    <w:basedOn w:val="para0"/>
    <w:pPr>
      <w:tabs defTabSz="709">
        <w:tab w:val="center" w:pos="4677" w:leader="none"/>
        <w:tab w:val="right" w:pos="9355" w:leader="none"/>
      </w:tabs>
    </w:pPr>
  </w:style>
  <w:style w:type="paragraph" w:styleId="para9">
    <w:name w:val="Footer"/>
    <w:qFormat/>
    <w:basedOn w:val="para0"/>
    <w:pPr>
      <w:tabs defTabSz="709">
        <w:tab w:val="center" w:pos="4677" w:leader="none"/>
        <w:tab w:val="right" w:pos="9355" w:leader="none"/>
      </w:tabs>
    </w:pPr>
  </w:style>
  <w:style w:type="paragraph" w:styleId="para10">
    <w:name w:val="Footnote Text"/>
    <w:qFormat/>
    <w:basedOn w:val="para0"/>
    <w:rPr>
      <w:sz w:val="20"/>
      <w:szCs w:val="20"/>
    </w:rPr>
  </w:style>
  <w:style w:type="paragraph" w:styleId="para11">
    <w:name w:val="List Paragraph"/>
    <w:qFormat/>
    <w:basedOn w:val="para0"/>
    <w:pPr>
      <w:ind w:left="720"/>
      <w:contextualSpacing/>
    </w:pPr>
  </w:style>
  <w:style w:type="paragraph" w:styleId="para12" w:customStyle="1">
    <w:name w:val="rvps17"/>
    <w:qFormat/>
    <w:basedOn w:val="para0"/>
    <w:pPr>
      <w:spacing w:before="100" w:after="100" w:beforeAutospacing="1" w:afterAutospacing="1"/>
    </w:pPr>
    <w:rPr>
      <w:lang w:val="uk-ua"/>
    </w:rPr>
  </w:style>
  <w:style w:type="paragraph" w:styleId="para13" w:customStyle="1">
    <w:name w:val="rvps7"/>
    <w:qFormat/>
    <w:basedOn w:val="para0"/>
    <w:pPr>
      <w:spacing w:before="100" w:after="100" w:beforeAutospacing="1" w:afterAutospacing="1"/>
    </w:pPr>
    <w:rPr>
      <w:lang w:val="uk-ua"/>
    </w:rPr>
  </w:style>
  <w:style w:type="paragraph" w:styleId="para14" w:customStyle="1">
    <w:name w:val="rvps6"/>
    <w:qFormat/>
    <w:basedOn w:val="para0"/>
    <w:pPr>
      <w:spacing w:before="100" w:after="100" w:beforeAutospacing="1" w:afterAutospacing="1"/>
    </w:pPr>
    <w:rPr>
      <w:lang w:val="uk-ua"/>
    </w:rPr>
  </w:style>
  <w:style w:type="character" w:styleId="char0" w:default="1">
    <w:name w:val="Default Paragraph Font"/>
  </w:style>
  <w:style w:type="character" w:styleId="char1" w:customStyle="1">
    <w:name w:val="Основной текст Знак"/>
    <w:rPr>
      <w:sz w:val="24"/>
    </w:rPr>
  </w:style>
  <w:style w:type="character" w:styleId="char2">
    <w:name w:val="Hyperlink"/>
    <w:rPr>
      <w:color w:val="0563c1"/>
      <w:u w:color="auto" w:val="single"/>
    </w:rPr>
  </w:style>
  <w:style w:type="character" w:styleId="char3" w:customStyle="1">
    <w:name w:val="Верхний колонтитул Знак"/>
    <w:rPr>
      <w:sz w:val="24"/>
      <w:szCs w:val="24"/>
      <w:lang w:val="ru-ru"/>
    </w:rPr>
  </w:style>
  <w:style w:type="character" w:styleId="char4" w:customStyle="1">
    <w:name w:val="Нижний колонтитул Знак"/>
    <w:rPr>
      <w:sz w:val="24"/>
      <w:szCs w:val="24"/>
      <w:lang w:val="ru-ru"/>
    </w:rPr>
  </w:style>
  <w:style w:type="character" w:styleId="char5" w:customStyle="1">
    <w:name w:val="Текст сноски Знак"/>
    <w:rPr>
      <w:lang w:val="ru-ru"/>
    </w:rPr>
  </w:style>
  <w:style w:type="character" w:styleId="char6">
    <w:name w:val="Footnote Reference"/>
    <w:rPr>
      <w:rFonts w:ascii="Times New Roman" w:hAnsi="Times New Roman" w:cs="Times New Roman"/>
      <w:vertAlign w:val="superscript"/>
    </w:rPr>
  </w:style>
  <w:style w:type="character" w:styleId="char7" w:customStyle="1">
    <w:name w:val="rvts37"/>
    <w:basedOn w:val="char0"/>
  </w:style>
  <w:style w:type="character" w:styleId="char8" w:customStyle="1">
    <w:name w:val="rvts23"/>
    <w:basedOn w:val="char0"/>
  </w:style>
  <w:style w:type="character" w:styleId="char9" w:customStyle="1">
    <w:name w:val="rvts64"/>
    <w:basedOn w:val="char0"/>
  </w:style>
  <w:style w:type="character" w:styleId="char10" w:customStyle="1">
    <w:name w:val="rvts9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yperlink" Target="mailto:&#1086;zr-uks@i.ua" TargetMode="External"/><Relationship Id="rId1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dc:description/>
  <cp:lastModifiedBy/>
  <cp:revision>7</cp:revision>
  <cp:lastPrinted>2025-04-23T07:28:00Z</cp:lastPrinted>
  <dcterms:created xsi:type="dcterms:W3CDTF">2025-12-19T10:32:00Z</dcterms:created>
  <dcterms:modified xsi:type="dcterms:W3CDTF">2025-12-22T10:06:01Z</dcterms:modified>
</cp:coreProperties>
</file>