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4E" w:rsidRPr="000C244E" w:rsidRDefault="000C244E" w:rsidP="000C244E">
      <w:pPr>
        <w:spacing w:after="0" w:line="240" w:lineRule="auto"/>
        <w:jc w:val="center"/>
        <w:rPr>
          <w:rFonts w:ascii="Book Antiqua" w:eastAsia="Calibri" w:hAnsi="Book Antiqua" w:cs="Book Antiqua"/>
          <w:b/>
          <w:color w:val="1F3864"/>
          <w:sz w:val="28"/>
          <w:szCs w:val="28"/>
          <w:lang w:eastAsia="ru-RU"/>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sidRPr="000C244E">
        <w:rPr>
          <w:rFonts w:ascii="Book Antiqua" w:eastAsia="Calibri" w:hAnsi="Book Antiqua" w:cs="Book Antiqua"/>
          <w:noProof/>
          <w:sz w:val="28"/>
          <w:szCs w:val="28"/>
          <w:lang w:val="ru-RU" w:eastAsia="ru-RU"/>
        </w:rPr>
        <w:drawing>
          <wp:inline distT="0" distB="0" distL="0" distR="0">
            <wp:extent cx="432000" cy="60840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0C244E" w:rsidRPr="000C244E" w:rsidRDefault="000C244E" w:rsidP="000C244E">
      <w:pPr>
        <w:spacing w:after="0" w:line="240" w:lineRule="auto"/>
        <w:jc w:val="center"/>
        <w:rPr>
          <w:rFonts w:ascii="Times New Roman" w:eastAsia="Calibri" w:hAnsi="Times New Roman" w:cs="Times New Roman"/>
          <w:b/>
          <w:bCs/>
          <w:color w:val="1F497D"/>
          <w:sz w:val="28"/>
          <w:szCs w:val="28"/>
          <w:lang w:eastAsia="ru-RU"/>
        </w:rPr>
      </w:pPr>
      <w:r w:rsidRPr="000C244E">
        <w:rPr>
          <w:rFonts w:ascii="Times New Roman" w:eastAsia="Calibri" w:hAnsi="Times New Roman" w:cs="Times New Roman"/>
          <w:b/>
          <w:bCs/>
          <w:color w:val="1F497D"/>
          <w:sz w:val="28"/>
          <w:szCs w:val="28"/>
          <w:lang w:eastAsia="ru-RU"/>
        </w:rPr>
        <w:t>БІЛГОРОД-ДНІСТРОВСЬКА МІСЬКА РАДА</w:t>
      </w:r>
    </w:p>
    <w:p w:rsidR="000C244E" w:rsidRPr="000C244E" w:rsidRDefault="000C244E" w:rsidP="000C244E">
      <w:pPr>
        <w:spacing w:after="0" w:line="240" w:lineRule="auto"/>
        <w:jc w:val="center"/>
        <w:rPr>
          <w:rFonts w:ascii="Times New Roman" w:eastAsia="Calibri" w:hAnsi="Times New Roman" w:cs="Times New Roman"/>
          <w:b/>
          <w:bCs/>
          <w:color w:val="1F497D"/>
          <w:sz w:val="28"/>
          <w:szCs w:val="28"/>
          <w:lang w:eastAsia="ru-RU"/>
        </w:rPr>
      </w:pPr>
    </w:p>
    <w:p w:rsidR="000C244E" w:rsidRPr="000C244E" w:rsidRDefault="000C244E" w:rsidP="000C244E">
      <w:pPr>
        <w:spacing w:after="0" w:line="240" w:lineRule="auto"/>
        <w:jc w:val="center"/>
        <w:rPr>
          <w:rFonts w:ascii="Times New Roman" w:eastAsia="Calibri" w:hAnsi="Times New Roman" w:cs="Times New Roman"/>
          <w:b/>
          <w:bCs/>
          <w:color w:val="1F497D"/>
          <w:sz w:val="28"/>
          <w:szCs w:val="28"/>
          <w:lang w:eastAsia="ru-RU"/>
        </w:rPr>
      </w:pPr>
      <w:r w:rsidRPr="000C244E">
        <w:rPr>
          <w:rFonts w:ascii="Times New Roman" w:eastAsia="Calibri" w:hAnsi="Times New Roman" w:cs="Times New Roman"/>
          <w:b/>
          <w:bCs/>
          <w:color w:val="1F497D"/>
          <w:sz w:val="28"/>
          <w:szCs w:val="28"/>
          <w:lang w:eastAsia="ru-RU"/>
        </w:rPr>
        <w:t xml:space="preserve">Р І Ш Е Н </w:t>
      </w:r>
      <w:proofErr w:type="spellStart"/>
      <w:r w:rsidRPr="000C244E">
        <w:rPr>
          <w:rFonts w:ascii="Times New Roman" w:eastAsia="Calibri" w:hAnsi="Times New Roman" w:cs="Times New Roman"/>
          <w:b/>
          <w:bCs/>
          <w:color w:val="1F497D"/>
          <w:sz w:val="28"/>
          <w:szCs w:val="28"/>
          <w:lang w:eastAsia="ru-RU"/>
        </w:rPr>
        <w:t>Н</w:t>
      </w:r>
      <w:proofErr w:type="spellEnd"/>
      <w:r w:rsidRPr="000C244E">
        <w:rPr>
          <w:rFonts w:ascii="Times New Roman" w:eastAsia="Calibri" w:hAnsi="Times New Roman" w:cs="Times New Roman"/>
          <w:b/>
          <w:bCs/>
          <w:color w:val="1F497D"/>
          <w:sz w:val="28"/>
          <w:szCs w:val="28"/>
          <w:lang w:eastAsia="ru-RU"/>
        </w:rPr>
        <w:t xml:space="preserve"> Я</w:t>
      </w:r>
    </w:p>
    <w:p w:rsidR="000C244E" w:rsidRPr="000C244E" w:rsidRDefault="000C244E" w:rsidP="000C244E">
      <w:pPr>
        <w:suppressAutoHyphens/>
        <w:spacing w:after="0" w:line="360" w:lineRule="auto"/>
        <w:jc w:val="center"/>
        <w:rPr>
          <w:rFonts w:ascii="Times New Roman" w:eastAsia="Calibri" w:hAnsi="Times New Roman" w:cs="font866"/>
          <w:sz w:val="24"/>
          <w:szCs w:val="24"/>
          <w:lang w:val="ru-RU" w:eastAsia="ru-RU"/>
        </w:rPr>
      </w:pPr>
    </w:p>
    <w:tbl>
      <w:tblPr>
        <w:tblW w:w="9859" w:type="dxa"/>
        <w:tblInd w:w="-113" w:type="dxa"/>
        <w:tblLook w:val="04A0"/>
      </w:tblPr>
      <w:tblGrid>
        <w:gridCol w:w="519"/>
        <w:gridCol w:w="2117"/>
        <w:gridCol w:w="4119"/>
        <w:gridCol w:w="445"/>
        <w:gridCol w:w="2659"/>
      </w:tblGrid>
      <w:tr w:rsidR="000C244E" w:rsidRPr="000C244E" w:rsidTr="00B7593F">
        <w:tc>
          <w:tcPr>
            <w:tcW w:w="415" w:type="dxa"/>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rsidR="000C244E" w:rsidRPr="000C244E" w:rsidRDefault="000C244E" w:rsidP="000C244E">
            <w:pPr>
              <w:spacing w:after="0" w:line="240" w:lineRule="auto"/>
              <w:jc w:val="center"/>
              <w:rPr>
                <w:rFonts w:ascii="Times New Roman" w:eastAsia="Calibri" w:hAnsi="Times New Roman" w:cs="Times New Roman"/>
                <w:sz w:val="24"/>
                <w:szCs w:val="24"/>
              </w:rPr>
            </w:pPr>
            <w:r w:rsidRPr="000C244E">
              <w:rPr>
                <w:rFonts w:ascii="Times New Roman" w:eastAsia="Calibri" w:hAnsi="Times New Roman" w:cs="Times New Roman"/>
                <w:sz w:val="24"/>
                <w:szCs w:val="24"/>
              </w:rPr>
              <w:t>від</w:t>
            </w:r>
          </w:p>
        </w:tc>
        <w:tc>
          <w:tcPr>
            <w:tcW w:w="2134" w:type="dxa"/>
          </w:tcPr>
          <w:p w:rsidR="000C244E" w:rsidRPr="000C244E" w:rsidRDefault="001B16DC" w:rsidP="000C244E">
            <w:pPr>
              <w:spacing w:after="0" w:line="240" w:lineRule="auto"/>
              <w:jc w:val="center"/>
              <w:rPr>
                <w:rFonts w:ascii="Times New Roman" w:eastAsia="Calibri" w:hAnsi="Times New Roman" w:cs="Times New Roman"/>
                <w:sz w:val="24"/>
                <w:szCs w:val="24"/>
              </w:rPr>
            </w:pPr>
            <w:r w:rsidRPr="001B16DC">
              <w:rPr>
                <w:rFonts w:ascii="Times New Roman" w:eastAsia="Calibri" w:hAnsi="Times New Roman" w:cs="Times New Roman"/>
                <w:noProof/>
                <w:sz w:val="24"/>
                <w:szCs w:val="24"/>
                <w:lang w:eastAsia="uk-UA"/>
              </w:rPr>
              <w:pict>
                <v:line id="Пряма сполучна лінія 1319048414" o:spid="_x0000_s1026" style="position:absolute;left:0;text-align:left;z-index:251661312;visibility:visible;mso-position-horizontal-relative:text;mso-position-vertical-relative:text"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" o:allowincell="f" strokeweight=".35mm">
                  <v:stroke joinstyle="miter"/>
                </v:line>
              </w:pict>
            </w:r>
            <w:r w:rsidR="0012589D">
              <w:rPr>
                <w:rFonts w:ascii="Times New Roman" w:eastAsia="Calibri" w:hAnsi="Times New Roman" w:cs="Times New Roman"/>
                <w:sz w:val="24"/>
                <w:szCs w:val="24"/>
              </w:rPr>
              <w:t>21.04.2026 р.</w:t>
            </w:r>
          </w:p>
        </w:tc>
        <w:tc>
          <w:tcPr>
            <w:tcW w:w="4168" w:type="dxa"/>
          </w:tcPr>
          <w:p w:rsidR="000C244E" w:rsidRPr="000C244E" w:rsidRDefault="000C244E" w:rsidP="000C244E">
            <w:pPr>
              <w:spacing w:after="0" w:line="240" w:lineRule="auto"/>
              <w:jc w:val="center"/>
              <w:rPr>
                <w:rFonts w:ascii="Times New Roman" w:eastAsia="Calibri" w:hAnsi="Times New Roman" w:cs="Times New Roman"/>
                <w:sz w:val="24"/>
                <w:szCs w:val="24"/>
              </w:rPr>
            </w:pPr>
            <w:r w:rsidRPr="000C244E">
              <w:rPr>
                <w:rFonts w:ascii="Times New Roman" w:eastAsia="Calibri" w:hAnsi="Times New Roman" w:cs="Times New Roman"/>
                <w:sz w:val="24"/>
                <w:szCs w:val="24"/>
              </w:rPr>
              <w:t>м. Білгород-Дністровський</w:t>
            </w:r>
          </w:p>
        </w:tc>
        <w:tc>
          <w:tcPr>
            <w:tcW w:w="445" w:type="dxa"/>
          </w:tcPr>
          <w:p w:rsidR="000C244E" w:rsidRPr="000C244E" w:rsidRDefault="000C244E" w:rsidP="000C244E">
            <w:pPr>
              <w:spacing w:after="0" w:line="240" w:lineRule="auto"/>
              <w:jc w:val="center"/>
              <w:rPr>
                <w:rFonts w:ascii="Times New Roman" w:eastAsia="Calibri" w:hAnsi="Times New Roman" w:cs="Times New Roman"/>
                <w:sz w:val="24"/>
                <w:szCs w:val="24"/>
              </w:rPr>
            </w:pPr>
            <w:r w:rsidRPr="000C244E">
              <w:rPr>
                <w:rFonts w:ascii="Times New Roman" w:eastAsia="Calibri" w:hAnsi="Times New Roman" w:cs="Times New Roman"/>
                <w:sz w:val="24"/>
                <w:szCs w:val="24"/>
              </w:rPr>
              <w:t>№</w:t>
            </w:r>
          </w:p>
        </w:tc>
        <w:tc>
          <w:tcPr>
            <w:tcW w:w="2697" w:type="dxa"/>
          </w:tcPr>
          <w:p w:rsidR="000C244E" w:rsidRPr="000C244E" w:rsidRDefault="00832B94" w:rsidP="00832B94">
            <w:pPr>
              <w:spacing w:after="0" w:line="240" w:lineRule="auto"/>
              <w:jc w:val="center"/>
              <w:rPr>
                <w:rFonts w:ascii="Times New Roman" w:eastAsia="Calibri" w:hAnsi="Times New Roman" w:cs="Times New Roman"/>
                <w:sz w:val="24"/>
                <w:szCs w:val="24"/>
              </w:rPr>
            </w:pPr>
            <w:r>
              <w:rPr>
                <w:rFonts w:ascii="Times New Roman" w:eastAsia="Times New Roman" w:hAnsi="Times New Roman"/>
                <w:sz w:val="24"/>
                <w:szCs w:val="24"/>
                <w:lang w:val="en-US" w:eastAsia="uk-UA"/>
              </w:rPr>
              <w:t>19</w:t>
            </w:r>
            <w:r>
              <w:rPr>
                <w:rFonts w:ascii="Times New Roman" w:eastAsia="Times New Roman" w:hAnsi="Times New Roman"/>
                <w:sz w:val="24"/>
                <w:szCs w:val="24"/>
                <w:lang w:eastAsia="uk-UA"/>
              </w:rPr>
              <w:t>26</w:t>
            </w:r>
            <w:r>
              <w:rPr>
                <w:rFonts w:ascii="Times New Roman" w:eastAsia="Times New Roman" w:hAnsi="Times New Roman"/>
                <w:sz w:val="24"/>
                <w:szCs w:val="24"/>
                <w:lang w:val="en-US" w:eastAsia="uk-UA"/>
              </w:rPr>
              <w:t>-VIII</w:t>
            </w:r>
            <w:r w:rsidR="001B16DC" w:rsidRPr="001B16DC">
              <w:rPr>
                <w:rFonts w:ascii="Times New Roman" w:eastAsia="Calibri" w:hAnsi="Times New Roman" w:cs="Times New Roman"/>
                <w:noProof/>
                <w:sz w:val="24"/>
                <w:szCs w:val="24"/>
                <w:lang w:eastAsia="uk-UA"/>
              </w:rPr>
              <w:pict>
                <v:line id="Пряма сполучна лінія 804813096" o:spid="_x0000_s1030" style="position:absolute;left:0;text-align:left;z-index:251659264;visibility:visible;mso-position-horizontal-relative:text;mso-position-vertical-relative:text" from="-4.05pt,12.9pt" to="1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" o:allowincell="f" strokeweight=".35mm">
                  <v:stroke joinstyle="miter"/>
                </v:line>
              </w:pict>
            </w:r>
            <w:r w:rsidR="001B16DC" w:rsidRPr="001B16DC">
              <w:rPr>
                <w:rFonts w:ascii="Times New Roman" w:eastAsia="Calibri" w:hAnsi="Times New Roman" w:cs="Times New Roman"/>
                <w:noProof/>
                <w:sz w:val="24"/>
                <w:szCs w:val="24"/>
                <w:lang w:eastAsia="uk-UA"/>
              </w:rPr>
              <w:pict>
                <v:line id="Пряма сполучна лінія 3" o:spid="_x0000_s1029" style="position:absolute;left:0;text-align:left;z-index:251660288;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" o:allowincell="f" strokeweight=".99pt">
                  <v:stroke joinstyle="miter"/>
                </v:line>
              </w:pict>
            </w:r>
          </w:p>
        </w:tc>
      </w:tr>
    </w:tbl>
    <w:p w:rsidR="000C244E" w:rsidRPr="000C244E" w:rsidRDefault="000C244E" w:rsidP="000C244E">
      <w:pPr>
        <w:spacing w:after="0" w:line="240" w:lineRule="auto"/>
        <w:jc w:val="both"/>
        <w:rPr>
          <w:rFonts w:ascii="Times New Roman" w:eastAsia="Calibri" w:hAnsi="Times New Roman" w:cs="Times New Roman"/>
          <w:bCs/>
          <w:sz w:val="24"/>
          <w:szCs w:val="24"/>
          <w:lang w:val="ru-RU" w:eastAsia="ru-RU"/>
        </w:rPr>
      </w:pPr>
    </w:p>
    <w:tbl>
      <w:tblPr>
        <w:tblW w:w="0" w:type="auto"/>
        <w:tblInd w:w="-142" w:type="dxa"/>
        <w:tblLayout w:type="fixed"/>
        <w:tblLook w:val="0000"/>
      </w:tblPr>
      <w:tblGrid>
        <w:gridCol w:w="5245"/>
      </w:tblGrid>
      <w:tr w:rsidR="000C244E" w:rsidRPr="000C244E" w:rsidTr="00B7593F">
        <w:trPr>
          <w:trHeight w:val="1049"/>
        </w:trPr>
        <w:tc>
          <w:tcPr>
            <w:tcW w:w="5245" w:type="dxa"/>
          </w:tcPr>
          <w:p w:rsidR="00E94D68" w:rsidRDefault="000C244E" w:rsidP="00E94D68">
            <w:pPr>
              <w:spacing w:after="0" w:line="240" w:lineRule="auto"/>
              <w:rPr>
                <w:rFonts w:ascii="Times New Roman" w:eastAsia="Calibri" w:hAnsi="Times New Roman" w:cs="Times New Roman"/>
                <w:sz w:val="26"/>
                <w:szCs w:val="26"/>
                <w:lang w:eastAsia="ru-RU"/>
              </w:rPr>
            </w:pPr>
            <w:r w:rsidRPr="000C244E">
              <w:rPr>
                <w:rFonts w:ascii="Times New Roman" w:eastAsia="Calibri" w:hAnsi="Times New Roman" w:cs="Times New Roman"/>
                <w:sz w:val="26"/>
                <w:szCs w:val="26"/>
                <w:lang w:eastAsia="ru-RU"/>
              </w:rPr>
              <w:t xml:space="preserve">Про </w:t>
            </w:r>
            <w:r w:rsidR="00E94D68">
              <w:rPr>
                <w:rFonts w:ascii="Times New Roman" w:eastAsia="Calibri" w:hAnsi="Times New Roman" w:cs="Times New Roman"/>
                <w:sz w:val="26"/>
                <w:szCs w:val="26"/>
                <w:lang w:eastAsia="ru-RU"/>
              </w:rPr>
              <w:t xml:space="preserve">утворення постійно діючої конкурсної комісії </w:t>
            </w:r>
            <w:r w:rsidR="00E94D68" w:rsidRPr="00E94D68">
              <w:rPr>
                <w:rFonts w:ascii="Times New Roman" w:eastAsia="Calibri" w:hAnsi="Times New Roman" w:cs="Times New Roman"/>
                <w:sz w:val="26"/>
                <w:szCs w:val="26"/>
                <w:lang w:eastAsia="ru-RU"/>
              </w:rPr>
              <w:t>із визначення приватного</w:t>
            </w:r>
            <w:r w:rsidR="00E94D68">
              <w:rPr>
                <w:rFonts w:ascii="Times New Roman" w:eastAsia="Calibri" w:hAnsi="Times New Roman" w:cs="Times New Roman"/>
                <w:sz w:val="26"/>
                <w:szCs w:val="26"/>
                <w:lang w:eastAsia="ru-RU"/>
              </w:rPr>
              <w:t xml:space="preserve"> </w:t>
            </w:r>
            <w:r w:rsidR="00E94D68" w:rsidRPr="00E94D68">
              <w:rPr>
                <w:rFonts w:ascii="Times New Roman" w:eastAsia="Calibri" w:hAnsi="Times New Roman" w:cs="Times New Roman"/>
                <w:sz w:val="26"/>
                <w:szCs w:val="26"/>
                <w:lang w:eastAsia="ru-RU"/>
              </w:rPr>
              <w:t xml:space="preserve">партнера для здійснення </w:t>
            </w:r>
            <w:r w:rsidR="00E94D68">
              <w:rPr>
                <w:rFonts w:ascii="Times New Roman" w:eastAsia="Calibri" w:hAnsi="Times New Roman" w:cs="Times New Roman"/>
                <w:sz w:val="26"/>
                <w:szCs w:val="26"/>
                <w:lang w:eastAsia="ru-RU"/>
              </w:rPr>
              <w:t>публічно</w:t>
            </w:r>
            <w:r w:rsidR="00E94D68" w:rsidRPr="00E94D68">
              <w:rPr>
                <w:rFonts w:ascii="Times New Roman" w:eastAsia="Calibri" w:hAnsi="Times New Roman" w:cs="Times New Roman"/>
                <w:sz w:val="26"/>
                <w:szCs w:val="26"/>
                <w:lang w:eastAsia="ru-RU"/>
              </w:rPr>
              <w:t>-приватного партнерства</w:t>
            </w:r>
            <w:r w:rsidR="00E94D68">
              <w:rPr>
                <w:rFonts w:ascii="Times New Roman" w:eastAsia="Calibri" w:hAnsi="Times New Roman" w:cs="Times New Roman"/>
                <w:sz w:val="26"/>
                <w:szCs w:val="26"/>
                <w:lang w:eastAsia="ru-RU"/>
              </w:rPr>
              <w:t xml:space="preserve"> (в тому числі на умовах концесії)</w:t>
            </w:r>
          </w:p>
          <w:p w:rsidR="000C244E" w:rsidRPr="000C244E" w:rsidRDefault="000C244E" w:rsidP="00E94D68">
            <w:pPr>
              <w:spacing w:after="0" w:line="240" w:lineRule="auto"/>
              <w:rPr>
                <w:rFonts w:ascii="Times New Roman" w:eastAsia="Calibri" w:hAnsi="Times New Roman" w:cs="Times New Roman"/>
                <w:sz w:val="26"/>
                <w:szCs w:val="26"/>
                <w:lang w:eastAsia="ru-RU"/>
              </w:rPr>
            </w:pPr>
          </w:p>
        </w:tc>
      </w:tr>
    </w:tbl>
    <w:p w:rsidR="00B306FB" w:rsidRPr="000C244E" w:rsidRDefault="00B306FB" w:rsidP="00B306FB">
      <w:pPr>
        <w:spacing w:after="0" w:line="240" w:lineRule="auto"/>
        <w:ind w:firstLine="708"/>
        <w:jc w:val="both"/>
        <w:rPr>
          <w:rFonts w:ascii="Times New Roman" w:hAnsi="Times New Roman" w:cs="Times New Roman"/>
          <w:sz w:val="26"/>
          <w:szCs w:val="26"/>
        </w:rPr>
      </w:pPr>
      <w:r>
        <w:rPr>
          <w:rFonts w:ascii="Times New Roman" w:eastAsia="Calibri" w:hAnsi="Times New Roman" w:cs="Times New Roman"/>
          <w:sz w:val="26"/>
          <w:szCs w:val="26"/>
          <w:lang w:eastAsia="ru-RU"/>
        </w:rPr>
        <w:t xml:space="preserve">З метою </w:t>
      </w:r>
      <w:r w:rsidRPr="00B306FB">
        <w:rPr>
          <w:rFonts w:ascii="Times New Roman" w:eastAsia="Calibri" w:hAnsi="Times New Roman" w:cs="Times New Roman"/>
          <w:sz w:val="26"/>
          <w:szCs w:val="26"/>
          <w:lang w:eastAsia="ru-RU"/>
        </w:rPr>
        <w:t>забезпечення інституційної спроможності щодо організації та проведення конкурсів</w:t>
      </w:r>
      <w:r>
        <w:rPr>
          <w:rFonts w:ascii="Times New Roman" w:eastAsia="Calibri" w:hAnsi="Times New Roman" w:cs="Times New Roman"/>
          <w:sz w:val="26"/>
          <w:szCs w:val="26"/>
          <w:lang w:eastAsia="ru-RU"/>
        </w:rPr>
        <w:t xml:space="preserve"> </w:t>
      </w:r>
      <w:r w:rsidRPr="00B306FB">
        <w:rPr>
          <w:rFonts w:ascii="Times New Roman" w:eastAsia="Calibri" w:hAnsi="Times New Roman" w:cs="Times New Roman"/>
          <w:sz w:val="26"/>
          <w:szCs w:val="26"/>
          <w:lang w:eastAsia="ru-RU"/>
        </w:rPr>
        <w:t>із визначення приватного партнера для здійснення публічно-приватного партнерства (в тому числі на умовах концесії)</w:t>
      </w:r>
      <w:r>
        <w:rPr>
          <w:rFonts w:ascii="Times New Roman" w:eastAsia="Calibri" w:hAnsi="Times New Roman" w:cs="Times New Roman"/>
          <w:sz w:val="26"/>
          <w:szCs w:val="26"/>
          <w:lang w:eastAsia="ru-RU"/>
        </w:rPr>
        <w:t>, к</w:t>
      </w:r>
      <w:r w:rsidR="00E94D68" w:rsidRPr="00E94D68">
        <w:rPr>
          <w:rFonts w:ascii="Times New Roman" w:eastAsia="Calibri" w:hAnsi="Times New Roman" w:cs="Times New Roman"/>
          <w:sz w:val="26"/>
          <w:szCs w:val="26"/>
          <w:lang w:eastAsia="ru-RU"/>
        </w:rPr>
        <w:t xml:space="preserve">еруючись </w:t>
      </w:r>
      <w:r w:rsidR="00E94D68">
        <w:rPr>
          <w:rFonts w:ascii="Times New Roman" w:eastAsia="Calibri" w:hAnsi="Times New Roman" w:cs="Times New Roman"/>
          <w:sz w:val="26"/>
          <w:szCs w:val="26"/>
          <w:lang w:eastAsia="ru-RU"/>
        </w:rPr>
        <w:t xml:space="preserve">статтями </w:t>
      </w:r>
      <w:r w:rsidR="00531090">
        <w:rPr>
          <w:rFonts w:ascii="Times New Roman" w:eastAsia="Calibri" w:hAnsi="Times New Roman" w:cs="Times New Roman"/>
          <w:sz w:val="26"/>
          <w:szCs w:val="26"/>
          <w:lang w:eastAsia="ru-RU"/>
        </w:rPr>
        <w:t xml:space="preserve">5, </w:t>
      </w:r>
      <w:r w:rsidR="00E94D68">
        <w:rPr>
          <w:rFonts w:ascii="Times New Roman" w:eastAsia="Calibri" w:hAnsi="Times New Roman" w:cs="Times New Roman"/>
          <w:sz w:val="26"/>
          <w:szCs w:val="26"/>
          <w:lang w:eastAsia="ru-RU"/>
        </w:rPr>
        <w:t xml:space="preserve">13, 14 </w:t>
      </w:r>
      <w:r w:rsidR="00E94D68" w:rsidRPr="00E94D68">
        <w:rPr>
          <w:rFonts w:ascii="Times New Roman" w:eastAsia="Calibri" w:hAnsi="Times New Roman" w:cs="Times New Roman"/>
          <w:sz w:val="26"/>
          <w:szCs w:val="26"/>
          <w:lang w:eastAsia="ru-RU"/>
        </w:rPr>
        <w:t>З</w:t>
      </w:r>
      <w:r w:rsidR="00E94D68">
        <w:rPr>
          <w:rFonts w:ascii="Times New Roman" w:eastAsia="Calibri" w:hAnsi="Times New Roman" w:cs="Times New Roman"/>
          <w:sz w:val="26"/>
          <w:szCs w:val="26"/>
          <w:lang w:eastAsia="ru-RU"/>
        </w:rPr>
        <w:t>акону України «</w:t>
      </w:r>
      <w:r w:rsidR="00E94D68" w:rsidRPr="00E94D68">
        <w:rPr>
          <w:rFonts w:ascii="Times New Roman" w:eastAsia="Calibri" w:hAnsi="Times New Roman" w:cs="Times New Roman"/>
          <w:sz w:val="26"/>
          <w:szCs w:val="26"/>
          <w:lang w:eastAsia="ru-RU"/>
        </w:rPr>
        <w:t>Про публічно-приватне партнерство</w:t>
      </w:r>
      <w:r w:rsidR="00E94D68">
        <w:rPr>
          <w:rFonts w:ascii="Times New Roman" w:eastAsia="Calibri" w:hAnsi="Times New Roman" w:cs="Times New Roman"/>
          <w:sz w:val="26"/>
          <w:szCs w:val="26"/>
          <w:lang w:eastAsia="ru-RU"/>
        </w:rPr>
        <w:t xml:space="preserve">», </w:t>
      </w:r>
      <w:r w:rsidR="00623F6A">
        <w:rPr>
          <w:rFonts w:ascii="Times New Roman" w:eastAsia="Calibri" w:hAnsi="Times New Roman" w:cs="Times New Roman"/>
          <w:sz w:val="26"/>
          <w:szCs w:val="26"/>
          <w:lang w:eastAsia="ru-RU"/>
        </w:rPr>
        <w:t xml:space="preserve">статтею 8 Закону України «Про концесію»,   </w:t>
      </w:r>
      <w:r w:rsidRPr="000C244E">
        <w:rPr>
          <w:rFonts w:ascii="Times New Roman" w:hAnsi="Times New Roman" w:cs="Times New Roman"/>
          <w:sz w:val="26"/>
          <w:szCs w:val="26"/>
        </w:rPr>
        <w:t>керуючись статтею 26,</w:t>
      </w:r>
      <w:r>
        <w:rPr>
          <w:rFonts w:ascii="Times New Roman" w:hAnsi="Times New Roman" w:cs="Times New Roman"/>
          <w:sz w:val="26"/>
          <w:szCs w:val="26"/>
        </w:rPr>
        <w:t xml:space="preserve"> </w:t>
      </w:r>
      <w:r w:rsidRPr="000C244E">
        <w:rPr>
          <w:rFonts w:ascii="Times New Roman" w:hAnsi="Times New Roman" w:cs="Times New Roman"/>
          <w:sz w:val="26"/>
          <w:szCs w:val="26"/>
        </w:rPr>
        <w:t>частиною 1 статті 59</w:t>
      </w:r>
      <w:r>
        <w:rPr>
          <w:rFonts w:ascii="Times New Roman" w:hAnsi="Times New Roman" w:cs="Times New Roman"/>
          <w:sz w:val="26"/>
          <w:szCs w:val="26"/>
        </w:rPr>
        <w:t>,</w:t>
      </w:r>
      <w:r w:rsidRPr="000C244E">
        <w:rPr>
          <w:rFonts w:ascii="Times New Roman" w:hAnsi="Times New Roman" w:cs="Times New Roman"/>
          <w:sz w:val="26"/>
          <w:szCs w:val="26"/>
        </w:rPr>
        <w:t xml:space="preserve"> </w:t>
      </w:r>
      <w:r w:rsidRPr="000C244E">
        <w:rPr>
          <w:rFonts w:ascii="Times New Roman" w:eastAsia="Calibri" w:hAnsi="Times New Roman" w:cs="Times New Roman"/>
          <w:sz w:val="26"/>
          <w:szCs w:val="26"/>
          <w:lang w:eastAsia="ru-RU"/>
        </w:rPr>
        <w:t xml:space="preserve">частиною другою статті 42 </w:t>
      </w:r>
      <w:r w:rsidRPr="000C244E">
        <w:rPr>
          <w:rFonts w:ascii="Times New Roman" w:hAnsi="Times New Roman" w:cs="Times New Roman"/>
          <w:sz w:val="26"/>
          <w:szCs w:val="26"/>
        </w:rPr>
        <w:t>Закону України «Про місцеве самоврядування в Україні»,</w:t>
      </w:r>
      <w:r>
        <w:rPr>
          <w:rFonts w:ascii="Times New Roman" w:hAnsi="Times New Roman" w:cs="Times New Roman"/>
          <w:sz w:val="26"/>
          <w:szCs w:val="26"/>
        </w:rPr>
        <w:t xml:space="preserve"> </w:t>
      </w:r>
      <w:r w:rsidRPr="000C244E">
        <w:rPr>
          <w:rFonts w:ascii="Times New Roman" w:hAnsi="Times New Roman" w:cs="Times New Roman"/>
          <w:sz w:val="26"/>
          <w:szCs w:val="26"/>
        </w:rPr>
        <w:t>міська рада</w:t>
      </w:r>
    </w:p>
    <w:p w:rsidR="00B306FB" w:rsidRDefault="00B306FB" w:rsidP="00B306FB">
      <w:pPr>
        <w:spacing w:after="0" w:line="240" w:lineRule="auto"/>
        <w:ind w:firstLine="708"/>
        <w:rPr>
          <w:rFonts w:ascii="Times New Roman" w:hAnsi="Times New Roman" w:cs="Times New Roman"/>
          <w:b/>
          <w:sz w:val="26"/>
          <w:szCs w:val="26"/>
        </w:rPr>
      </w:pPr>
    </w:p>
    <w:p w:rsidR="00B306FB" w:rsidRPr="00B306FB" w:rsidRDefault="00B306FB" w:rsidP="00B306FB">
      <w:pPr>
        <w:spacing w:after="0" w:line="240" w:lineRule="auto"/>
        <w:ind w:firstLine="708"/>
        <w:rPr>
          <w:rFonts w:ascii="Times New Roman" w:hAnsi="Times New Roman" w:cs="Times New Roman"/>
          <w:b/>
          <w:sz w:val="26"/>
          <w:szCs w:val="26"/>
        </w:rPr>
      </w:pPr>
      <w:r w:rsidRPr="00B306FB">
        <w:rPr>
          <w:rFonts w:ascii="Times New Roman" w:hAnsi="Times New Roman" w:cs="Times New Roman"/>
          <w:b/>
          <w:sz w:val="26"/>
          <w:szCs w:val="26"/>
        </w:rPr>
        <w:t>ВИРІШИЛА:</w:t>
      </w:r>
    </w:p>
    <w:p w:rsidR="00E94D68" w:rsidRDefault="00E94D68" w:rsidP="00E94D68">
      <w:pPr>
        <w:spacing w:after="0" w:line="240" w:lineRule="auto"/>
        <w:ind w:firstLine="708"/>
        <w:jc w:val="both"/>
        <w:rPr>
          <w:rFonts w:ascii="Times New Roman" w:eastAsia="Calibri" w:hAnsi="Times New Roman" w:cs="Times New Roman"/>
          <w:sz w:val="26"/>
          <w:szCs w:val="26"/>
          <w:lang w:eastAsia="ru-RU"/>
        </w:rPr>
      </w:pPr>
    </w:p>
    <w:p w:rsidR="00E94D68" w:rsidRDefault="00675C9A" w:rsidP="00675C9A">
      <w:pPr>
        <w:pStyle w:val="a3"/>
        <w:numPr>
          <w:ilvl w:val="0"/>
          <w:numId w:val="1"/>
        </w:numPr>
        <w:spacing w:after="0" w:line="240" w:lineRule="auto"/>
        <w:ind w:left="0"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Утворити </w:t>
      </w:r>
      <w:r w:rsidRPr="00675C9A">
        <w:rPr>
          <w:rFonts w:ascii="Times New Roman" w:eastAsia="Calibri" w:hAnsi="Times New Roman" w:cs="Times New Roman"/>
          <w:sz w:val="26"/>
          <w:szCs w:val="26"/>
          <w:lang w:eastAsia="ru-RU"/>
        </w:rPr>
        <w:t>постійно діюч</w:t>
      </w:r>
      <w:r>
        <w:rPr>
          <w:rFonts w:ascii="Times New Roman" w:eastAsia="Calibri" w:hAnsi="Times New Roman" w:cs="Times New Roman"/>
          <w:sz w:val="26"/>
          <w:szCs w:val="26"/>
          <w:lang w:eastAsia="ru-RU"/>
        </w:rPr>
        <w:t>у</w:t>
      </w:r>
      <w:r w:rsidRPr="00675C9A">
        <w:rPr>
          <w:rFonts w:ascii="Times New Roman" w:eastAsia="Calibri" w:hAnsi="Times New Roman" w:cs="Times New Roman"/>
          <w:sz w:val="26"/>
          <w:szCs w:val="26"/>
          <w:lang w:eastAsia="ru-RU"/>
        </w:rPr>
        <w:t xml:space="preserve"> конкурсн</w:t>
      </w:r>
      <w:r>
        <w:rPr>
          <w:rFonts w:ascii="Times New Roman" w:eastAsia="Calibri" w:hAnsi="Times New Roman" w:cs="Times New Roman"/>
          <w:sz w:val="26"/>
          <w:szCs w:val="26"/>
          <w:lang w:eastAsia="ru-RU"/>
        </w:rPr>
        <w:t>у</w:t>
      </w:r>
      <w:r w:rsidRPr="00675C9A">
        <w:rPr>
          <w:rFonts w:ascii="Times New Roman" w:eastAsia="Calibri" w:hAnsi="Times New Roman" w:cs="Times New Roman"/>
          <w:sz w:val="26"/>
          <w:szCs w:val="26"/>
          <w:lang w:eastAsia="ru-RU"/>
        </w:rPr>
        <w:t xml:space="preserve"> комісі</w:t>
      </w:r>
      <w:r>
        <w:rPr>
          <w:rFonts w:ascii="Times New Roman" w:eastAsia="Calibri" w:hAnsi="Times New Roman" w:cs="Times New Roman"/>
          <w:sz w:val="26"/>
          <w:szCs w:val="26"/>
          <w:lang w:eastAsia="ru-RU"/>
        </w:rPr>
        <w:t>ю</w:t>
      </w:r>
      <w:r w:rsidRPr="00675C9A">
        <w:rPr>
          <w:rFonts w:ascii="Times New Roman" w:eastAsia="Calibri" w:hAnsi="Times New Roman" w:cs="Times New Roman"/>
          <w:sz w:val="26"/>
          <w:szCs w:val="26"/>
          <w:lang w:eastAsia="ru-RU"/>
        </w:rPr>
        <w:t xml:space="preserve"> із визначення приватного партнера для здійснення публічно-приватного партнерства (в тому числі на умовах концесії)</w:t>
      </w:r>
      <w:r>
        <w:rPr>
          <w:rFonts w:ascii="Times New Roman" w:eastAsia="Calibri" w:hAnsi="Times New Roman" w:cs="Times New Roman"/>
          <w:sz w:val="26"/>
          <w:szCs w:val="26"/>
          <w:lang w:eastAsia="ru-RU"/>
        </w:rPr>
        <w:t xml:space="preserve"> </w:t>
      </w:r>
      <w:r w:rsidRPr="00675C9A">
        <w:rPr>
          <w:rFonts w:ascii="Times New Roman" w:eastAsia="Calibri" w:hAnsi="Times New Roman" w:cs="Times New Roman"/>
          <w:sz w:val="26"/>
          <w:szCs w:val="26"/>
          <w:lang w:eastAsia="ru-RU"/>
        </w:rPr>
        <w:t xml:space="preserve">та затвердити її </w:t>
      </w:r>
      <w:r>
        <w:rPr>
          <w:rFonts w:ascii="Times New Roman" w:eastAsia="Calibri" w:hAnsi="Times New Roman" w:cs="Times New Roman"/>
          <w:sz w:val="26"/>
          <w:szCs w:val="26"/>
          <w:lang w:eastAsia="ru-RU"/>
        </w:rPr>
        <w:t xml:space="preserve">посадовий </w:t>
      </w:r>
      <w:r w:rsidRPr="00675C9A">
        <w:rPr>
          <w:rFonts w:ascii="Times New Roman" w:eastAsia="Calibri" w:hAnsi="Times New Roman" w:cs="Times New Roman"/>
          <w:sz w:val="26"/>
          <w:szCs w:val="26"/>
          <w:lang w:eastAsia="ru-RU"/>
        </w:rPr>
        <w:t>склад</w:t>
      </w:r>
      <w:r>
        <w:rPr>
          <w:rFonts w:ascii="Times New Roman" w:eastAsia="Calibri" w:hAnsi="Times New Roman" w:cs="Times New Roman"/>
          <w:sz w:val="26"/>
          <w:szCs w:val="26"/>
          <w:lang w:eastAsia="ru-RU"/>
        </w:rPr>
        <w:t xml:space="preserve"> </w:t>
      </w:r>
      <w:r w:rsidRPr="00675C9A">
        <w:rPr>
          <w:rFonts w:ascii="Times New Roman" w:eastAsia="Calibri" w:hAnsi="Times New Roman" w:cs="Times New Roman"/>
          <w:sz w:val="26"/>
          <w:szCs w:val="26"/>
          <w:lang w:eastAsia="ru-RU"/>
        </w:rPr>
        <w:t>згідно з додатком 1</w:t>
      </w:r>
      <w:r w:rsidR="00082D84">
        <w:rPr>
          <w:rFonts w:ascii="Times New Roman" w:eastAsia="Calibri" w:hAnsi="Times New Roman" w:cs="Times New Roman"/>
          <w:sz w:val="26"/>
          <w:szCs w:val="26"/>
          <w:lang w:eastAsia="ru-RU"/>
        </w:rPr>
        <w:t>.</w:t>
      </w:r>
    </w:p>
    <w:p w:rsidR="005B78FC" w:rsidRDefault="005B78FC" w:rsidP="00082D84">
      <w:pPr>
        <w:pStyle w:val="a3"/>
        <w:numPr>
          <w:ilvl w:val="0"/>
          <w:numId w:val="1"/>
        </w:numPr>
        <w:spacing w:after="0" w:line="240" w:lineRule="auto"/>
        <w:ind w:left="0" w:firstLine="708"/>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Визначити, що персональний склад </w:t>
      </w:r>
      <w:r w:rsidRPr="005B78FC">
        <w:rPr>
          <w:rFonts w:ascii="Times New Roman" w:eastAsia="Calibri" w:hAnsi="Times New Roman" w:cs="Times New Roman"/>
          <w:sz w:val="26"/>
          <w:szCs w:val="26"/>
          <w:lang w:eastAsia="ru-RU"/>
        </w:rPr>
        <w:t>постійно діюч</w:t>
      </w:r>
      <w:r w:rsidR="000D3A54">
        <w:rPr>
          <w:rFonts w:ascii="Times New Roman" w:eastAsia="Calibri" w:hAnsi="Times New Roman" w:cs="Times New Roman"/>
          <w:sz w:val="26"/>
          <w:szCs w:val="26"/>
          <w:lang w:eastAsia="ru-RU"/>
        </w:rPr>
        <w:t>ої</w:t>
      </w:r>
      <w:r w:rsidRPr="005B78FC">
        <w:rPr>
          <w:rFonts w:ascii="Times New Roman" w:eastAsia="Calibri" w:hAnsi="Times New Roman" w:cs="Times New Roman"/>
          <w:sz w:val="26"/>
          <w:szCs w:val="26"/>
          <w:lang w:eastAsia="ru-RU"/>
        </w:rPr>
        <w:t xml:space="preserve"> конкурсн</w:t>
      </w:r>
      <w:r w:rsidR="000D3A54">
        <w:rPr>
          <w:rFonts w:ascii="Times New Roman" w:eastAsia="Calibri" w:hAnsi="Times New Roman" w:cs="Times New Roman"/>
          <w:sz w:val="26"/>
          <w:szCs w:val="26"/>
          <w:lang w:eastAsia="ru-RU"/>
        </w:rPr>
        <w:t>ої</w:t>
      </w:r>
      <w:r w:rsidRPr="005B78FC">
        <w:rPr>
          <w:rFonts w:ascii="Times New Roman" w:eastAsia="Calibri" w:hAnsi="Times New Roman" w:cs="Times New Roman"/>
          <w:sz w:val="26"/>
          <w:szCs w:val="26"/>
          <w:lang w:eastAsia="ru-RU"/>
        </w:rPr>
        <w:t xml:space="preserve"> комісі</w:t>
      </w:r>
      <w:r w:rsidR="000D3A54">
        <w:rPr>
          <w:rFonts w:ascii="Times New Roman" w:eastAsia="Calibri" w:hAnsi="Times New Roman" w:cs="Times New Roman"/>
          <w:sz w:val="26"/>
          <w:szCs w:val="26"/>
          <w:lang w:eastAsia="ru-RU"/>
        </w:rPr>
        <w:t>ї</w:t>
      </w:r>
      <w:r w:rsidRPr="005B78FC">
        <w:rPr>
          <w:rFonts w:ascii="Times New Roman" w:eastAsia="Calibri" w:hAnsi="Times New Roman" w:cs="Times New Roman"/>
          <w:sz w:val="26"/>
          <w:szCs w:val="26"/>
          <w:lang w:eastAsia="ru-RU"/>
        </w:rPr>
        <w:t xml:space="preserve"> із визначення приватного партнера для здійснення публічно-приватного партнерства (в тому числі на умовах концесії)</w:t>
      </w:r>
      <w:r>
        <w:rPr>
          <w:rFonts w:ascii="Times New Roman" w:eastAsia="Calibri" w:hAnsi="Times New Roman" w:cs="Times New Roman"/>
          <w:sz w:val="26"/>
          <w:szCs w:val="26"/>
          <w:lang w:eastAsia="ru-RU"/>
        </w:rPr>
        <w:t xml:space="preserve"> затверджується розпорядженням міського голови</w:t>
      </w:r>
      <w:r w:rsidR="00284313">
        <w:rPr>
          <w:rFonts w:ascii="Times New Roman" w:eastAsia="Calibri" w:hAnsi="Times New Roman" w:cs="Times New Roman"/>
          <w:sz w:val="26"/>
          <w:szCs w:val="26"/>
          <w:lang w:eastAsia="ru-RU"/>
        </w:rPr>
        <w:t xml:space="preserve"> у </w:t>
      </w:r>
      <w:r w:rsidR="001E4711">
        <w:rPr>
          <w:rFonts w:ascii="Times New Roman" w:eastAsia="Calibri" w:hAnsi="Times New Roman" w:cs="Times New Roman"/>
          <w:sz w:val="26"/>
          <w:szCs w:val="26"/>
          <w:lang w:eastAsia="ru-RU"/>
        </w:rPr>
        <w:t xml:space="preserve">непарній кількості </w:t>
      </w:r>
      <w:r w:rsidR="00F06ECC" w:rsidRPr="00F06ECC">
        <w:rPr>
          <w:rFonts w:ascii="Times New Roman" w:eastAsia="Calibri" w:hAnsi="Times New Roman" w:cs="Times New Roman"/>
          <w:sz w:val="26"/>
          <w:szCs w:val="26"/>
          <w:lang w:eastAsia="ru-RU"/>
        </w:rPr>
        <w:t>не менше 7 та не більше 21 особи</w:t>
      </w:r>
      <w:r w:rsidR="00A9216B">
        <w:rPr>
          <w:rFonts w:ascii="Times New Roman" w:eastAsia="Calibri" w:hAnsi="Times New Roman" w:cs="Times New Roman"/>
          <w:sz w:val="26"/>
          <w:szCs w:val="26"/>
          <w:lang w:eastAsia="ru-RU"/>
        </w:rPr>
        <w:t xml:space="preserve"> зі персонального складу комісії згідно з додатком 1 цього рішення</w:t>
      </w:r>
      <w:r w:rsidR="00082D84">
        <w:rPr>
          <w:rFonts w:ascii="Times New Roman" w:eastAsia="Calibri" w:hAnsi="Times New Roman" w:cs="Times New Roman"/>
          <w:sz w:val="26"/>
          <w:szCs w:val="26"/>
          <w:lang w:eastAsia="ru-RU"/>
        </w:rPr>
        <w:t xml:space="preserve">, в тому числі </w:t>
      </w:r>
      <w:r w:rsidR="00082D84" w:rsidRPr="00082D84">
        <w:rPr>
          <w:rFonts w:ascii="Times New Roman" w:eastAsia="Calibri" w:hAnsi="Times New Roman" w:cs="Times New Roman"/>
          <w:sz w:val="26"/>
          <w:szCs w:val="26"/>
          <w:lang w:eastAsia="ru-RU"/>
        </w:rPr>
        <w:t xml:space="preserve">для конкретного проекту </w:t>
      </w:r>
      <w:r w:rsidR="00082D84">
        <w:rPr>
          <w:rFonts w:ascii="Times New Roman" w:eastAsia="Calibri" w:hAnsi="Times New Roman" w:cs="Times New Roman"/>
          <w:sz w:val="26"/>
          <w:szCs w:val="26"/>
          <w:lang w:eastAsia="ru-RU"/>
        </w:rPr>
        <w:t>публічно-приватного партнерства.</w:t>
      </w:r>
    </w:p>
    <w:p w:rsidR="00D53B19" w:rsidRDefault="00315DAB" w:rsidP="00D53B19">
      <w:pPr>
        <w:pStyle w:val="a3"/>
        <w:numPr>
          <w:ilvl w:val="0"/>
          <w:numId w:val="1"/>
        </w:numPr>
        <w:spacing w:after="0" w:line="240" w:lineRule="auto"/>
        <w:ind w:left="0" w:firstLine="708"/>
        <w:jc w:val="both"/>
        <w:rPr>
          <w:rFonts w:ascii="Times New Roman" w:eastAsia="Calibri" w:hAnsi="Times New Roman" w:cs="Times New Roman"/>
          <w:sz w:val="26"/>
          <w:szCs w:val="26"/>
          <w:lang w:eastAsia="ru-RU"/>
        </w:rPr>
      </w:pPr>
      <w:r w:rsidRPr="00315DAB">
        <w:rPr>
          <w:rFonts w:ascii="Times New Roman" w:eastAsia="Calibri" w:hAnsi="Times New Roman" w:cs="Times New Roman"/>
          <w:sz w:val="26"/>
          <w:szCs w:val="26"/>
          <w:lang w:eastAsia="ru-RU"/>
        </w:rPr>
        <w:t xml:space="preserve">Затвердити Положення </w:t>
      </w:r>
      <w:r w:rsidR="00091315">
        <w:rPr>
          <w:rFonts w:ascii="Times New Roman" w:eastAsia="Calibri" w:hAnsi="Times New Roman" w:cs="Times New Roman"/>
          <w:sz w:val="26"/>
          <w:szCs w:val="26"/>
          <w:lang w:eastAsia="ru-RU"/>
        </w:rPr>
        <w:t xml:space="preserve">про </w:t>
      </w:r>
      <w:r w:rsidRPr="00315DAB">
        <w:rPr>
          <w:rFonts w:ascii="Times New Roman" w:eastAsia="Calibri" w:hAnsi="Times New Roman" w:cs="Times New Roman"/>
          <w:sz w:val="26"/>
          <w:szCs w:val="26"/>
          <w:lang w:eastAsia="ru-RU"/>
        </w:rPr>
        <w:t>постійно діючу конкурсну комісію із визначення приватного партнера для здійснення публічно-приватного партнерства (в тому числі на умовах концесії)</w:t>
      </w:r>
      <w:r w:rsidR="00C50D21">
        <w:rPr>
          <w:rFonts w:ascii="Times New Roman" w:eastAsia="Calibri" w:hAnsi="Times New Roman" w:cs="Times New Roman"/>
          <w:sz w:val="26"/>
          <w:szCs w:val="26"/>
          <w:lang w:eastAsia="ru-RU"/>
        </w:rPr>
        <w:t xml:space="preserve"> </w:t>
      </w:r>
      <w:r w:rsidR="00091315">
        <w:rPr>
          <w:rFonts w:ascii="Times New Roman" w:eastAsia="Calibri" w:hAnsi="Times New Roman" w:cs="Times New Roman"/>
          <w:sz w:val="26"/>
          <w:szCs w:val="26"/>
          <w:lang w:eastAsia="ru-RU"/>
        </w:rPr>
        <w:t>згідно з додатком 2</w:t>
      </w:r>
      <w:r w:rsidR="00082D84">
        <w:rPr>
          <w:rFonts w:ascii="Times New Roman" w:eastAsia="Calibri" w:hAnsi="Times New Roman" w:cs="Times New Roman"/>
          <w:sz w:val="26"/>
          <w:szCs w:val="26"/>
          <w:lang w:eastAsia="ru-RU"/>
        </w:rPr>
        <w:t>.</w:t>
      </w:r>
    </w:p>
    <w:p w:rsidR="00D53B19" w:rsidRPr="00D53B19" w:rsidRDefault="00D53B19" w:rsidP="00C93462">
      <w:pPr>
        <w:pStyle w:val="a3"/>
        <w:numPr>
          <w:ilvl w:val="0"/>
          <w:numId w:val="1"/>
        </w:numPr>
        <w:spacing w:after="0" w:line="240" w:lineRule="auto"/>
        <w:ind w:left="0" w:firstLine="709"/>
        <w:jc w:val="both"/>
        <w:rPr>
          <w:rFonts w:ascii="Times New Roman" w:eastAsia="Calibri" w:hAnsi="Times New Roman" w:cs="Times New Roman"/>
          <w:sz w:val="26"/>
          <w:szCs w:val="26"/>
          <w:lang w:eastAsia="ru-RU"/>
        </w:rPr>
      </w:pPr>
      <w:r w:rsidRPr="00D53B19">
        <w:rPr>
          <w:rFonts w:ascii="Times New Roman" w:eastAsia="Calibri" w:hAnsi="Times New Roman" w:cs="Times New Roman"/>
          <w:sz w:val="26"/>
          <w:szCs w:val="26"/>
          <w:lang w:eastAsia="ru-RU"/>
        </w:rPr>
        <w:t xml:space="preserve">Контроль за виконанням цього рішення покласти на </w:t>
      </w:r>
      <w:r w:rsidR="00C93462" w:rsidRPr="00C93462">
        <w:rPr>
          <w:rFonts w:ascii="Times New Roman" w:eastAsia="Calibri" w:hAnsi="Times New Roman" w:cs="Times New Roman"/>
          <w:sz w:val="26"/>
          <w:szCs w:val="26"/>
          <w:lang w:eastAsia="ru-RU"/>
        </w:rPr>
        <w:t>постійн</w:t>
      </w:r>
      <w:r w:rsidR="00C93462">
        <w:rPr>
          <w:rFonts w:ascii="Times New Roman" w:eastAsia="Calibri" w:hAnsi="Times New Roman" w:cs="Times New Roman"/>
          <w:sz w:val="26"/>
          <w:szCs w:val="26"/>
          <w:lang w:eastAsia="ru-RU"/>
        </w:rPr>
        <w:t>у</w:t>
      </w:r>
      <w:r w:rsidR="00C93462" w:rsidRPr="00C93462">
        <w:rPr>
          <w:rFonts w:ascii="Times New Roman" w:eastAsia="Calibri" w:hAnsi="Times New Roman" w:cs="Times New Roman"/>
          <w:sz w:val="26"/>
          <w:szCs w:val="26"/>
          <w:lang w:eastAsia="ru-RU"/>
        </w:rPr>
        <w:t xml:space="preserve"> комісі</w:t>
      </w:r>
      <w:r w:rsidR="00C93462">
        <w:rPr>
          <w:rFonts w:ascii="Times New Roman" w:eastAsia="Calibri" w:hAnsi="Times New Roman" w:cs="Times New Roman"/>
          <w:sz w:val="26"/>
          <w:szCs w:val="26"/>
          <w:lang w:eastAsia="ru-RU"/>
        </w:rPr>
        <w:t>ю</w:t>
      </w:r>
      <w:r w:rsidR="00C93462" w:rsidRPr="00C93462">
        <w:rPr>
          <w:rFonts w:ascii="Times New Roman" w:eastAsia="Calibri" w:hAnsi="Times New Roman" w:cs="Times New Roman"/>
          <w:sz w:val="26"/>
          <w:szCs w:val="26"/>
          <w:lang w:eastAsia="ru-RU"/>
        </w:rPr>
        <w:t xml:space="preserve"> з питань законності, регламенту, депутатської діяльності, захисту прав громадян</w:t>
      </w:r>
      <w:r w:rsidRPr="00D53B19">
        <w:rPr>
          <w:rFonts w:ascii="Times New Roman" w:eastAsia="Calibri" w:hAnsi="Times New Roman" w:cs="Times New Roman"/>
          <w:sz w:val="26"/>
          <w:szCs w:val="26"/>
          <w:lang w:eastAsia="ru-RU"/>
        </w:rPr>
        <w:t xml:space="preserve"> (</w:t>
      </w:r>
      <w:r w:rsidR="00C93462">
        <w:rPr>
          <w:rFonts w:ascii="Times New Roman" w:eastAsia="Calibri" w:hAnsi="Times New Roman" w:cs="Times New Roman"/>
          <w:sz w:val="26"/>
          <w:szCs w:val="26"/>
          <w:lang w:eastAsia="ru-RU"/>
        </w:rPr>
        <w:t>ВОЛОЩУК Тетяна</w:t>
      </w:r>
      <w:r w:rsidRPr="00D53B19">
        <w:rPr>
          <w:rFonts w:ascii="Times New Roman" w:eastAsia="Calibri" w:hAnsi="Times New Roman" w:cs="Times New Roman"/>
          <w:sz w:val="26"/>
          <w:szCs w:val="26"/>
          <w:lang w:eastAsia="ru-RU"/>
        </w:rPr>
        <w:t>).</w:t>
      </w:r>
    </w:p>
    <w:p w:rsidR="00D53B19" w:rsidRDefault="00D53B19" w:rsidP="00D53B19">
      <w:pPr>
        <w:pStyle w:val="a3"/>
        <w:spacing w:after="0" w:line="240" w:lineRule="auto"/>
        <w:ind w:left="1068"/>
        <w:jc w:val="both"/>
        <w:rPr>
          <w:rFonts w:ascii="Times New Roman" w:eastAsia="Calibri" w:hAnsi="Times New Roman" w:cs="Times New Roman"/>
          <w:sz w:val="26"/>
          <w:szCs w:val="26"/>
          <w:lang w:eastAsia="ru-RU"/>
        </w:rPr>
      </w:pPr>
    </w:p>
    <w:p w:rsidR="00EA276A" w:rsidRDefault="00EA276A" w:rsidP="00D53B19">
      <w:pPr>
        <w:pStyle w:val="a3"/>
        <w:spacing w:after="0" w:line="240" w:lineRule="auto"/>
        <w:ind w:left="1068"/>
        <w:jc w:val="both"/>
        <w:rPr>
          <w:rFonts w:ascii="Times New Roman" w:eastAsia="Calibri" w:hAnsi="Times New Roman" w:cs="Times New Roman"/>
          <w:sz w:val="26"/>
          <w:szCs w:val="26"/>
          <w:lang w:eastAsia="ru-RU"/>
        </w:rPr>
      </w:pPr>
    </w:p>
    <w:p w:rsidR="00EA276A" w:rsidRPr="006572C0" w:rsidRDefault="00EA276A" w:rsidP="00EA276A">
      <w:pPr>
        <w:spacing w:after="0" w:line="240" w:lineRule="auto"/>
        <w:rPr>
          <w:rFonts w:ascii="Times New Roman" w:eastAsia="Times New Roman" w:hAnsi="Times New Roman" w:cs="Times New Roman"/>
          <w:sz w:val="27"/>
          <w:szCs w:val="27"/>
          <w:lang w:eastAsia="ru-RU"/>
        </w:rPr>
      </w:pPr>
      <w:r w:rsidRPr="006572C0">
        <w:rPr>
          <w:rFonts w:ascii="Times New Roman" w:eastAsia="Times New Roman" w:hAnsi="Times New Roman" w:cs="Times New Roman"/>
          <w:sz w:val="27"/>
          <w:szCs w:val="27"/>
          <w:lang w:eastAsia="ru-RU"/>
        </w:rPr>
        <w:t>Секретар міської ради</w:t>
      </w:r>
      <w:r w:rsidRPr="006572C0">
        <w:rPr>
          <w:rFonts w:ascii="Times New Roman" w:eastAsia="Times New Roman" w:hAnsi="Times New Roman" w:cs="Times New Roman"/>
          <w:sz w:val="27"/>
          <w:szCs w:val="27"/>
          <w:lang w:eastAsia="ru-RU"/>
        </w:rPr>
        <w:tab/>
        <w:t xml:space="preserve"> </w:t>
      </w:r>
      <w:r w:rsidRPr="006572C0">
        <w:rPr>
          <w:rFonts w:ascii="Times New Roman" w:eastAsia="Times New Roman" w:hAnsi="Times New Roman" w:cs="Times New Roman"/>
          <w:sz w:val="27"/>
          <w:szCs w:val="27"/>
          <w:lang w:eastAsia="ru-RU"/>
        </w:rPr>
        <w:tab/>
        <w:t xml:space="preserve">                                               Олександр СКАЛОЗУБ</w:t>
      </w:r>
    </w:p>
    <w:p w:rsidR="000C244E" w:rsidRDefault="000C244E" w:rsidP="000C244E">
      <w:pPr>
        <w:spacing w:after="0" w:line="240" w:lineRule="auto"/>
        <w:rPr>
          <w:rFonts w:ascii="Times New Roman" w:hAnsi="Times New Roman" w:cs="Times New Roman"/>
          <w:sz w:val="26"/>
          <w:szCs w:val="26"/>
        </w:rPr>
      </w:pPr>
    </w:p>
    <w:p w:rsidR="0001561E" w:rsidRDefault="0001561E" w:rsidP="000C244E">
      <w:pPr>
        <w:spacing w:after="0" w:line="240" w:lineRule="auto"/>
        <w:rPr>
          <w:rFonts w:ascii="Times New Roman" w:hAnsi="Times New Roman" w:cs="Times New Roman"/>
          <w:sz w:val="26"/>
          <w:szCs w:val="26"/>
        </w:rPr>
      </w:pPr>
    </w:p>
    <w:p w:rsidR="0001561E" w:rsidRDefault="0001561E" w:rsidP="000C244E">
      <w:pPr>
        <w:spacing w:after="0" w:line="240" w:lineRule="auto"/>
        <w:rPr>
          <w:rFonts w:ascii="Times New Roman" w:hAnsi="Times New Roman" w:cs="Times New Roman"/>
          <w:sz w:val="26"/>
          <w:szCs w:val="26"/>
        </w:rPr>
      </w:pPr>
    </w:p>
    <w:p w:rsidR="0001561E" w:rsidRDefault="0001561E" w:rsidP="000C244E">
      <w:pPr>
        <w:spacing w:after="0" w:line="240" w:lineRule="auto"/>
        <w:rPr>
          <w:rFonts w:ascii="Times New Roman" w:hAnsi="Times New Roman" w:cs="Times New Roman"/>
          <w:sz w:val="26"/>
          <w:szCs w:val="26"/>
        </w:rPr>
      </w:pPr>
    </w:p>
    <w:p w:rsidR="00832B94" w:rsidRDefault="00832B94" w:rsidP="000C244E">
      <w:pPr>
        <w:spacing w:after="0" w:line="240" w:lineRule="auto"/>
        <w:rPr>
          <w:rFonts w:ascii="Times New Roman" w:hAnsi="Times New Roman" w:cs="Times New Roman"/>
          <w:sz w:val="26"/>
          <w:szCs w:val="26"/>
        </w:rPr>
      </w:pPr>
    </w:p>
    <w:p w:rsidR="00832B94" w:rsidRDefault="00832B94" w:rsidP="000C244E">
      <w:pPr>
        <w:spacing w:after="0" w:line="240" w:lineRule="auto"/>
        <w:rPr>
          <w:rFonts w:ascii="Times New Roman" w:hAnsi="Times New Roman" w:cs="Times New Roman"/>
          <w:sz w:val="26"/>
          <w:szCs w:val="26"/>
        </w:rPr>
      </w:pPr>
    </w:p>
    <w:p w:rsidR="0001561E" w:rsidRDefault="0001561E" w:rsidP="000C244E">
      <w:pPr>
        <w:spacing w:after="0" w:line="240" w:lineRule="auto"/>
        <w:rPr>
          <w:rFonts w:ascii="Times New Roman" w:hAnsi="Times New Roman" w:cs="Times New Roman"/>
          <w:sz w:val="26"/>
          <w:szCs w:val="26"/>
        </w:rPr>
      </w:pPr>
    </w:p>
    <w:p w:rsidR="0039674F" w:rsidRDefault="001B16DC" w:rsidP="0039674F">
      <w:pPr>
        <w:pStyle w:val="a3"/>
        <w:spacing w:after="0" w:line="240" w:lineRule="auto"/>
        <w:ind w:left="1068"/>
        <w:jc w:val="right"/>
        <w:rPr>
          <w:rFonts w:ascii="Times New Roman" w:eastAsia="Calibri" w:hAnsi="Times New Roman" w:cs="Times New Roman"/>
          <w:sz w:val="26"/>
          <w:szCs w:val="26"/>
          <w:lang w:eastAsia="ru-RU"/>
        </w:rPr>
      </w:pPr>
      <w:r w:rsidRPr="001B16DC">
        <w:rPr>
          <w:rFonts w:ascii="Times New Roman" w:eastAsia="Calibri" w:hAnsi="Times New Roman" w:cs="Times New Roman"/>
          <w:noProof/>
          <w:sz w:val="26"/>
          <w:szCs w:val="26"/>
          <w:lang w:eastAsia="uk-UA"/>
        </w:rPr>
        <w:lastRenderedPageBreak/>
        <w:pict>
          <v:shapetype id="_x0000_t202" coordsize="21600,21600" o:spt="202" path="m,l,21600r21600,l21600,xe">
            <v:stroke joinstyle="miter"/>
            <v:path gradientshapeok="t" o:connecttype="rect"/>
          </v:shapetype>
          <v:shape id="Надпись 2" o:spid="_x0000_s1028" type="#_x0000_t202" style="position:absolute;left:0;text-align:left;margin-left:237.45pt;margin-top:0;width:237.7pt;height:64.4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" filled="f" stroked="f">
            <v:textbox>
              <w:txbxContent>
                <w:p w:rsidR="0039674F" w:rsidRPr="006572C0" w:rsidRDefault="0039674F" w:rsidP="0039674F">
                  <w:pPr>
                    <w:spacing w:after="0" w:line="240" w:lineRule="auto"/>
                    <w:rPr>
                      <w:rFonts w:ascii="Times New Roman" w:eastAsia="Calibri" w:hAnsi="Times New Roman" w:cs="Times New Roman"/>
                      <w:sz w:val="24"/>
                      <w:szCs w:val="24"/>
                      <w:lang w:eastAsia="ru-RU"/>
                    </w:rPr>
                  </w:pPr>
                  <w:r w:rsidRPr="006572C0">
                    <w:rPr>
                      <w:rFonts w:ascii="Times New Roman" w:eastAsia="Calibri" w:hAnsi="Times New Roman" w:cs="Times New Roman"/>
                      <w:sz w:val="24"/>
                      <w:szCs w:val="24"/>
                      <w:lang w:eastAsia="ru-RU"/>
                    </w:rPr>
                    <w:t xml:space="preserve">Додаток </w:t>
                  </w:r>
                  <w:r w:rsidR="009419DE" w:rsidRPr="006572C0">
                    <w:rPr>
                      <w:rFonts w:ascii="Times New Roman" w:eastAsia="Calibri" w:hAnsi="Times New Roman" w:cs="Times New Roman"/>
                      <w:sz w:val="24"/>
                      <w:szCs w:val="24"/>
                      <w:lang w:eastAsia="ru-RU"/>
                    </w:rPr>
                    <w:t xml:space="preserve">1 </w:t>
                  </w:r>
                  <w:r w:rsidRPr="006572C0">
                    <w:rPr>
                      <w:rFonts w:ascii="Times New Roman" w:eastAsia="Calibri" w:hAnsi="Times New Roman" w:cs="Times New Roman"/>
                      <w:sz w:val="24"/>
                      <w:szCs w:val="24"/>
                      <w:lang w:eastAsia="ru-RU"/>
                    </w:rPr>
                    <w:t xml:space="preserve">до рішення </w:t>
                  </w:r>
                </w:p>
                <w:p w:rsidR="0039674F" w:rsidRPr="006572C0" w:rsidRDefault="0039674F" w:rsidP="0039674F">
                  <w:pPr>
                    <w:spacing w:after="0" w:line="240" w:lineRule="auto"/>
                    <w:rPr>
                      <w:rFonts w:ascii="Times New Roman" w:eastAsia="Calibri" w:hAnsi="Times New Roman" w:cs="Times New Roman"/>
                      <w:sz w:val="24"/>
                      <w:szCs w:val="24"/>
                      <w:lang w:eastAsia="ru-RU"/>
                    </w:rPr>
                  </w:pPr>
                  <w:r w:rsidRPr="006572C0">
                    <w:rPr>
                      <w:rFonts w:ascii="Times New Roman" w:eastAsia="Calibri" w:hAnsi="Times New Roman" w:cs="Times New Roman"/>
                      <w:sz w:val="24"/>
                      <w:szCs w:val="24"/>
                      <w:lang w:eastAsia="ru-RU"/>
                    </w:rPr>
                    <w:t>Білгород-Дністровської міської ради</w:t>
                  </w:r>
                </w:p>
                <w:p w:rsidR="0039674F" w:rsidRPr="006572C0" w:rsidRDefault="0039674F" w:rsidP="0039674F">
                  <w:pPr>
                    <w:spacing w:after="0" w:line="240" w:lineRule="auto"/>
                    <w:rPr>
                      <w:rFonts w:ascii="Times New Roman" w:eastAsia="Calibri" w:hAnsi="Times New Roman" w:cs="Times New Roman"/>
                      <w:sz w:val="24"/>
                      <w:szCs w:val="24"/>
                      <w:lang w:eastAsia="ru-RU"/>
                    </w:rPr>
                  </w:pPr>
                  <w:r w:rsidRPr="006572C0">
                    <w:rPr>
                      <w:rFonts w:ascii="Times New Roman" w:eastAsia="Calibri" w:hAnsi="Times New Roman" w:cs="Times New Roman"/>
                      <w:sz w:val="24"/>
                      <w:szCs w:val="24"/>
                      <w:lang w:eastAsia="ru-RU"/>
                    </w:rPr>
                    <w:t xml:space="preserve">від </w:t>
                  </w:r>
                  <w:r w:rsidR="00832B94">
                    <w:rPr>
                      <w:rFonts w:ascii="Times New Roman" w:eastAsia="Calibri" w:hAnsi="Times New Roman" w:cs="Times New Roman"/>
                      <w:sz w:val="24"/>
                      <w:szCs w:val="24"/>
                      <w:lang w:eastAsia="ru-RU"/>
                    </w:rPr>
                    <w:t>21.04.</w:t>
                  </w:r>
                  <w:r w:rsidRPr="006572C0">
                    <w:rPr>
                      <w:rFonts w:ascii="Times New Roman" w:eastAsia="Calibri" w:hAnsi="Times New Roman" w:cs="Times New Roman"/>
                      <w:sz w:val="24"/>
                      <w:szCs w:val="24"/>
                      <w:lang w:eastAsia="ru-RU"/>
                    </w:rPr>
                    <w:t xml:space="preserve">2026 року № </w:t>
                  </w:r>
                  <w:r w:rsidR="00832B94">
                    <w:rPr>
                      <w:rFonts w:ascii="Times New Roman" w:eastAsia="Times New Roman" w:hAnsi="Times New Roman"/>
                      <w:sz w:val="24"/>
                      <w:szCs w:val="24"/>
                      <w:lang w:val="en-US" w:eastAsia="uk-UA"/>
                    </w:rPr>
                    <w:t>19</w:t>
                  </w:r>
                  <w:r w:rsidR="00832B94">
                    <w:rPr>
                      <w:rFonts w:ascii="Times New Roman" w:eastAsia="Times New Roman" w:hAnsi="Times New Roman"/>
                      <w:sz w:val="24"/>
                      <w:szCs w:val="24"/>
                      <w:lang w:eastAsia="uk-UA"/>
                    </w:rPr>
                    <w:t>26</w:t>
                  </w:r>
                  <w:r w:rsidR="00832B94">
                    <w:rPr>
                      <w:rFonts w:ascii="Times New Roman" w:eastAsia="Times New Roman" w:hAnsi="Times New Roman"/>
                      <w:sz w:val="24"/>
                      <w:szCs w:val="24"/>
                      <w:lang w:val="en-US" w:eastAsia="uk-UA"/>
                    </w:rPr>
                    <w:t>-VIII</w:t>
                  </w:r>
                </w:p>
                <w:p w:rsidR="0039674F" w:rsidRDefault="0039674F"/>
              </w:txbxContent>
            </v:textbox>
            <w10:wrap type="square"/>
          </v:shape>
        </w:pict>
      </w:r>
    </w:p>
    <w:p w:rsidR="0039674F" w:rsidRDefault="0039674F" w:rsidP="0039674F">
      <w:pPr>
        <w:pStyle w:val="a3"/>
        <w:spacing w:after="0" w:line="240" w:lineRule="auto"/>
        <w:ind w:left="1068"/>
        <w:jc w:val="right"/>
        <w:rPr>
          <w:rFonts w:ascii="Times New Roman" w:eastAsia="Calibri" w:hAnsi="Times New Roman" w:cs="Times New Roman"/>
          <w:sz w:val="26"/>
          <w:szCs w:val="26"/>
          <w:lang w:eastAsia="ru-RU"/>
        </w:rPr>
      </w:pPr>
    </w:p>
    <w:p w:rsidR="0039674F" w:rsidRDefault="0039674F" w:rsidP="0039674F">
      <w:pPr>
        <w:pStyle w:val="a3"/>
        <w:spacing w:after="0" w:line="240" w:lineRule="auto"/>
        <w:ind w:left="1068"/>
        <w:jc w:val="right"/>
        <w:rPr>
          <w:rFonts w:ascii="Times New Roman" w:eastAsia="Calibri" w:hAnsi="Times New Roman" w:cs="Times New Roman"/>
          <w:sz w:val="26"/>
          <w:szCs w:val="26"/>
          <w:lang w:eastAsia="ru-RU"/>
        </w:rPr>
      </w:pPr>
    </w:p>
    <w:p w:rsidR="0039674F" w:rsidRDefault="0039674F" w:rsidP="0039674F">
      <w:pPr>
        <w:pStyle w:val="a3"/>
        <w:spacing w:after="0" w:line="240" w:lineRule="auto"/>
        <w:ind w:left="1068"/>
        <w:jc w:val="right"/>
        <w:rPr>
          <w:rFonts w:ascii="Times New Roman" w:eastAsia="Calibri" w:hAnsi="Times New Roman" w:cs="Times New Roman"/>
          <w:sz w:val="26"/>
          <w:szCs w:val="26"/>
          <w:lang w:eastAsia="ru-RU"/>
        </w:rPr>
      </w:pPr>
    </w:p>
    <w:p w:rsidR="0057687B" w:rsidRPr="00CF0E4F" w:rsidRDefault="0057687B" w:rsidP="00E4249C">
      <w:pPr>
        <w:spacing w:after="0" w:line="240" w:lineRule="auto"/>
        <w:jc w:val="center"/>
        <w:rPr>
          <w:rFonts w:ascii="Times New Roman" w:hAnsi="Times New Roman" w:cs="Times New Roman"/>
          <w:sz w:val="10"/>
          <w:szCs w:val="10"/>
        </w:rPr>
      </w:pPr>
    </w:p>
    <w:p w:rsidR="000C244E" w:rsidRPr="0057687B" w:rsidRDefault="0039674F" w:rsidP="00E4249C">
      <w:pPr>
        <w:spacing w:after="0" w:line="240" w:lineRule="auto"/>
        <w:jc w:val="center"/>
        <w:rPr>
          <w:rFonts w:ascii="Times New Roman" w:hAnsi="Times New Roman" w:cs="Times New Roman"/>
          <w:sz w:val="25"/>
          <w:szCs w:val="25"/>
        </w:rPr>
      </w:pPr>
      <w:r w:rsidRPr="0057687B">
        <w:rPr>
          <w:rFonts w:ascii="Times New Roman" w:hAnsi="Times New Roman" w:cs="Times New Roman"/>
          <w:sz w:val="25"/>
          <w:szCs w:val="25"/>
        </w:rPr>
        <w:t xml:space="preserve">ПОСАДОВИЙ </w:t>
      </w:r>
      <w:r w:rsidR="000C244E" w:rsidRPr="0057687B">
        <w:rPr>
          <w:rFonts w:ascii="Times New Roman" w:hAnsi="Times New Roman" w:cs="Times New Roman"/>
          <w:sz w:val="25"/>
          <w:szCs w:val="25"/>
        </w:rPr>
        <w:t>СКЛАД</w:t>
      </w:r>
    </w:p>
    <w:p w:rsidR="00E4249C" w:rsidRPr="0057687B" w:rsidRDefault="0039674F" w:rsidP="00E4249C">
      <w:pPr>
        <w:spacing w:after="0" w:line="240" w:lineRule="auto"/>
        <w:jc w:val="center"/>
        <w:rPr>
          <w:rFonts w:ascii="Times New Roman" w:hAnsi="Times New Roman" w:cs="Times New Roman"/>
          <w:sz w:val="25"/>
          <w:szCs w:val="25"/>
        </w:rPr>
      </w:pPr>
      <w:r w:rsidRPr="0057687B">
        <w:rPr>
          <w:rFonts w:ascii="Times New Roman" w:hAnsi="Times New Roman" w:cs="Times New Roman"/>
          <w:sz w:val="25"/>
          <w:szCs w:val="25"/>
        </w:rPr>
        <w:t>постійно діючої конкурсної комісії із визначення приватного партнера</w:t>
      </w:r>
    </w:p>
    <w:p w:rsidR="00E4249C" w:rsidRPr="0057687B" w:rsidRDefault="0039674F" w:rsidP="00E4249C">
      <w:pPr>
        <w:spacing w:after="0" w:line="240" w:lineRule="auto"/>
        <w:jc w:val="center"/>
        <w:rPr>
          <w:rFonts w:ascii="Times New Roman" w:hAnsi="Times New Roman" w:cs="Times New Roman"/>
          <w:sz w:val="25"/>
          <w:szCs w:val="25"/>
        </w:rPr>
      </w:pPr>
      <w:r w:rsidRPr="0057687B">
        <w:rPr>
          <w:rFonts w:ascii="Times New Roman" w:hAnsi="Times New Roman" w:cs="Times New Roman"/>
          <w:sz w:val="25"/>
          <w:szCs w:val="25"/>
        </w:rPr>
        <w:t>для здійснення публічно-приватного партнерства</w:t>
      </w:r>
    </w:p>
    <w:p w:rsidR="0039674F" w:rsidRPr="0057687B" w:rsidRDefault="0039674F" w:rsidP="00E4249C">
      <w:pPr>
        <w:spacing w:after="0" w:line="240" w:lineRule="auto"/>
        <w:jc w:val="center"/>
        <w:rPr>
          <w:rFonts w:ascii="Times New Roman" w:hAnsi="Times New Roman" w:cs="Times New Roman"/>
          <w:sz w:val="25"/>
          <w:szCs w:val="25"/>
        </w:rPr>
      </w:pPr>
      <w:r w:rsidRPr="0057687B">
        <w:rPr>
          <w:rFonts w:ascii="Times New Roman" w:hAnsi="Times New Roman" w:cs="Times New Roman"/>
          <w:sz w:val="25"/>
          <w:szCs w:val="25"/>
        </w:rPr>
        <w:t>(в тому числі на умовах концесії)</w:t>
      </w:r>
    </w:p>
    <w:p w:rsidR="0039674F" w:rsidRPr="00CF0E4F" w:rsidRDefault="0039674F" w:rsidP="000C244E">
      <w:pPr>
        <w:spacing w:after="0" w:line="240" w:lineRule="auto"/>
        <w:rPr>
          <w:rFonts w:ascii="Times New Roman" w:hAnsi="Times New Roman" w:cs="Times New Roman"/>
        </w:rPr>
      </w:pPr>
    </w:p>
    <w:p w:rsidR="005B78FC" w:rsidRPr="0057687B" w:rsidRDefault="00301A04" w:rsidP="000C244E">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Білгород-Дністровський міський голова</w:t>
      </w:r>
    </w:p>
    <w:p w:rsidR="00301A04" w:rsidRPr="00CF0E4F" w:rsidRDefault="00301A04" w:rsidP="000C244E">
      <w:pPr>
        <w:spacing w:after="0" w:line="240" w:lineRule="auto"/>
        <w:rPr>
          <w:rFonts w:ascii="Times New Roman" w:hAnsi="Times New Roman" w:cs="Times New Roman"/>
        </w:rPr>
      </w:pPr>
    </w:p>
    <w:p w:rsidR="00301A04" w:rsidRPr="0057687B" w:rsidRDefault="00CC5A9C" w:rsidP="000C244E">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Секретар Білгород-Дністровської міської ради</w:t>
      </w:r>
    </w:p>
    <w:p w:rsidR="004306EA" w:rsidRPr="00CF0E4F" w:rsidRDefault="004306EA" w:rsidP="000C244E">
      <w:pPr>
        <w:spacing w:after="0" w:line="240" w:lineRule="auto"/>
        <w:rPr>
          <w:rFonts w:ascii="Times New Roman" w:hAnsi="Times New Roman" w:cs="Times New Roman"/>
        </w:rPr>
      </w:pPr>
    </w:p>
    <w:p w:rsidR="004306EA" w:rsidRPr="0057687B" w:rsidRDefault="004306EA" w:rsidP="000C244E">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Заступник міського голови з питань діяльності виконавчих органів  Білгород-Дністровської міської ради</w:t>
      </w:r>
    </w:p>
    <w:p w:rsidR="00CC5A9C" w:rsidRPr="00CF0E4F" w:rsidRDefault="00CC5A9C" w:rsidP="000C244E">
      <w:pPr>
        <w:spacing w:after="0" w:line="240" w:lineRule="auto"/>
        <w:rPr>
          <w:rFonts w:ascii="Times New Roman" w:hAnsi="Times New Roman" w:cs="Times New Roman"/>
        </w:rPr>
      </w:pPr>
    </w:p>
    <w:p w:rsidR="00CC5A9C" w:rsidRPr="0057687B" w:rsidRDefault="00CC5A9C" w:rsidP="000C244E">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Директор Департаменту економіки та розвитку інфраструктури міста Білгород-Дністровської міської ради</w:t>
      </w:r>
    </w:p>
    <w:p w:rsidR="00CC5A9C" w:rsidRPr="00CF0E4F" w:rsidRDefault="00CC5A9C" w:rsidP="000C244E">
      <w:pPr>
        <w:spacing w:after="0" w:line="240" w:lineRule="auto"/>
        <w:rPr>
          <w:rFonts w:ascii="Times New Roman" w:hAnsi="Times New Roman" w:cs="Times New Roman"/>
        </w:rPr>
      </w:pPr>
    </w:p>
    <w:p w:rsidR="00CC5A9C" w:rsidRPr="0057687B" w:rsidRDefault="00CC5A9C" w:rsidP="000C244E">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 xml:space="preserve">Заступник директора </w:t>
      </w:r>
      <w:r w:rsidR="00C46E87" w:rsidRPr="0057687B">
        <w:rPr>
          <w:rFonts w:ascii="Times New Roman" w:hAnsi="Times New Roman" w:cs="Times New Roman"/>
          <w:sz w:val="25"/>
          <w:szCs w:val="25"/>
        </w:rPr>
        <w:t xml:space="preserve">Департаменту </w:t>
      </w:r>
      <w:r w:rsidRPr="0057687B">
        <w:rPr>
          <w:rFonts w:ascii="Times New Roman" w:hAnsi="Times New Roman" w:cs="Times New Roman"/>
          <w:sz w:val="25"/>
          <w:szCs w:val="25"/>
        </w:rPr>
        <w:t xml:space="preserve">– начальник управління комунальної власності Департаменту економіки та розвитку інфраструктури міста Білгород-Дністровської міської ради </w:t>
      </w:r>
    </w:p>
    <w:p w:rsidR="00CC5A9C" w:rsidRPr="00CF0E4F" w:rsidRDefault="00CC5A9C" w:rsidP="000C244E">
      <w:pPr>
        <w:spacing w:after="0" w:line="240" w:lineRule="auto"/>
        <w:rPr>
          <w:rFonts w:ascii="Times New Roman" w:hAnsi="Times New Roman" w:cs="Times New Roman"/>
        </w:rPr>
      </w:pPr>
    </w:p>
    <w:p w:rsidR="00CC5A9C" w:rsidRPr="0057687B" w:rsidRDefault="00FE4681" w:rsidP="00C46E87">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Н</w:t>
      </w:r>
      <w:r w:rsidR="00C46E87" w:rsidRPr="0057687B">
        <w:rPr>
          <w:rFonts w:ascii="Times New Roman" w:hAnsi="Times New Roman" w:cs="Times New Roman"/>
          <w:sz w:val="25"/>
          <w:szCs w:val="25"/>
        </w:rPr>
        <w:t>ачальник управління містобудування та архітектури Департаменту економіки та розвитку інфраструктури міста Білгород-Дністровської міської ради, головний архітектор міс</w:t>
      </w:r>
      <w:r w:rsidRPr="0057687B">
        <w:rPr>
          <w:rFonts w:ascii="Times New Roman" w:hAnsi="Times New Roman" w:cs="Times New Roman"/>
          <w:sz w:val="25"/>
          <w:szCs w:val="25"/>
        </w:rPr>
        <w:t xml:space="preserve">та </w:t>
      </w:r>
    </w:p>
    <w:p w:rsidR="00FE4681" w:rsidRPr="00CF0E4F" w:rsidRDefault="00FE4681" w:rsidP="00C46E87">
      <w:pPr>
        <w:spacing w:after="0" w:line="240" w:lineRule="auto"/>
        <w:rPr>
          <w:rFonts w:ascii="Times New Roman" w:hAnsi="Times New Roman" w:cs="Times New Roman"/>
        </w:rPr>
      </w:pPr>
    </w:p>
    <w:p w:rsidR="00FE4681" w:rsidRPr="0057687B" w:rsidRDefault="00FE4681" w:rsidP="00FE4681">
      <w:pPr>
        <w:spacing w:after="0" w:line="240" w:lineRule="auto"/>
        <w:jc w:val="both"/>
        <w:rPr>
          <w:rFonts w:ascii="Times New Roman" w:hAnsi="Times New Roman" w:cs="Times New Roman"/>
          <w:sz w:val="25"/>
          <w:szCs w:val="25"/>
        </w:rPr>
      </w:pPr>
      <w:r w:rsidRPr="0057687B">
        <w:rPr>
          <w:rFonts w:ascii="Times New Roman" w:hAnsi="Times New Roman" w:cs="Times New Roman"/>
          <w:sz w:val="25"/>
          <w:szCs w:val="25"/>
        </w:rPr>
        <w:t xml:space="preserve">Начальник </w:t>
      </w:r>
      <w:r w:rsidR="004306EA" w:rsidRPr="0057687B">
        <w:rPr>
          <w:rFonts w:ascii="Times New Roman" w:hAnsi="Times New Roman" w:cs="Times New Roman"/>
          <w:sz w:val="25"/>
          <w:szCs w:val="25"/>
        </w:rPr>
        <w:t>ю</w:t>
      </w:r>
      <w:r w:rsidRPr="0057687B">
        <w:rPr>
          <w:rFonts w:ascii="Times New Roman" w:hAnsi="Times New Roman" w:cs="Times New Roman"/>
          <w:sz w:val="25"/>
          <w:szCs w:val="25"/>
        </w:rPr>
        <w:t xml:space="preserve">ридичного управління Білгород-Дністровської міської ради </w:t>
      </w:r>
    </w:p>
    <w:p w:rsidR="00FE4681" w:rsidRPr="00CF0E4F" w:rsidRDefault="00FE4681" w:rsidP="00FE4681">
      <w:pPr>
        <w:spacing w:after="0" w:line="240" w:lineRule="auto"/>
        <w:jc w:val="both"/>
        <w:rPr>
          <w:rFonts w:ascii="Times New Roman" w:hAnsi="Times New Roman" w:cs="Times New Roman"/>
        </w:rPr>
      </w:pPr>
    </w:p>
    <w:p w:rsidR="00FE4681" w:rsidRPr="0057687B" w:rsidRDefault="004306EA" w:rsidP="00FE4681">
      <w:pPr>
        <w:spacing w:after="0" w:line="240" w:lineRule="auto"/>
        <w:jc w:val="both"/>
        <w:rPr>
          <w:rFonts w:ascii="Times New Roman" w:hAnsi="Times New Roman" w:cs="Times New Roman"/>
          <w:sz w:val="25"/>
          <w:szCs w:val="25"/>
        </w:rPr>
      </w:pPr>
      <w:r w:rsidRPr="0057687B">
        <w:rPr>
          <w:rFonts w:ascii="Times New Roman" w:hAnsi="Times New Roman" w:cs="Times New Roman"/>
          <w:sz w:val="25"/>
          <w:szCs w:val="25"/>
        </w:rPr>
        <w:t>Начальник ф</w:t>
      </w:r>
      <w:r w:rsidR="00FE4681" w:rsidRPr="0057687B">
        <w:rPr>
          <w:rFonts w:ascii="Times New Roman" w:hAnsi="Times New Roman" w:cs="Times New Roman"/>
          <w:sz w:val="25"/>
          <w:szCs w:val="25"/>
        </w:rPr>
        <w:t>інансового управління Білгород-Дністровської міської ради</w:t>
      </w:r>
    </w:p>
    <w:p w:rsidR="004306EA" w:rsidRPr="00CF0E4F" w:rsidRDefault="004306EA" w:rsidP="00FE4681">
      <w:pPr>
        <w:spacing w:after="0" w:line="240" w:lineRule="auto"/>
        <w:jc w:val="both"/>
        <w:rPr>
          <w:rFonts w:ascii="Times New Roman" w:hAnsi="Times New Roman" w:cs="Times New Roman"/>
        </w:rPr>
      </w:pPr>
    </w:p>
    <w:p w:rsidR="00FE4681" w:rsidRPr="0057687B" w:rsidRDefault="00AD1FE4" w:rsidP="00AD1FE4">
      <w:pPr>
        <w:spacing w:after="0" w:line="240" w:lineRule="auto"/>
        <w:jc w:val="both"/>
        <w:rPr>
          <w:rFonts w:ascii="Times New Roman" w:hAnsi="Times New Roman" w:cs="Times New Roman"/>
          <w:sz w:val="25"/>
          <w:szCs w:val="25"/>
        </w:rPr>
      </w:pPr>
      <w:r w:rsidRPr="0057687B">
        <w:rPr>
          <w:rFonts w:ascii="Times New Roman" w:hAnsi="Times New Roman" w:cs="Times New Roman"/>
          <w:sz w:val="25"/>
          <w:szCs w:val="25"/>
        </w:rPr>
        <w:t>Начальник КП «Білгород-Дністровське міське управління капітального будівництва»</w:t>
      </w:r>
    </w:p>
    <w:p w:rsidR="00AD1FE4" w:rsidRPr="00CF0E4F" w:rsidRDefault="00AD1FE4" w:rsidP="00AD1FE4">
      <w:pPr>
        <w:spacing w:after="0" w:line="240" w:lineRule="auto"/>
        <w:rPr>
          <w:rFonts w:ascii="Times New Roman" w:hAnsi="Times New Roman" w:cs="Times New Roman"/>
        </w:rPr>
      </w:pPr>
    </w:p>
    <w:p w:rsidR="00FE4681" w:rsidRPr="0057687B" w:rsidRDefault="00FE4681" w:rsidP="00FE4681">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 xml:space="preserve">Голова постійної депутатської комісії з питань житлово-комунального </w:t>
      </w:r>
      <w:r w:rsidR="004D3BCD" w:rsidRPr="0057687B">
        <w:rPr>
          <w:rFonts w:ascii="Times New Roman" w:hAnsi="Times New Roman" w:cs="Times New Roman"/>
          <w:sz w:val="25"/>
          <w:szCs w:val="25"/>
        </w:rPr>
        <w:t>г</w:t>
      </w:r>
      <w:r w:rsidRPr="0057687B">
        <w:rPr>
          <w:rFonts w:ascii="Times New Roman" w:hAnsi="Times New Roman" w:cs="Times New Roman"/>
          <w:sz w:val="25"/>
          <w:szCs w:val="25"/>
        </w:rPr>
        <w:t>осподарства, транспорту, зв’язку та управління комунальною власністю (за згодою)</w:t>
      </w:r>
    </w:p>
    <w:p w:rsidR="00FE4681" w:rsidRPr="00CF0E4F" w:rsidRDefault="00FE4681" w:rsidP="00FE4681">
      <w:pPr>
        <w:spacing w:after="0" w:line="240" w:lineRule="auto"/>
        <w:rPr>
          <w:rFonts w:ascii="Times New Roman" w:hAnsi="Times New Roman" w:cs="Times New Roman"/>
        </w:rPr>
      </w:pPr>
    </w:p>
    <w:p w:rsidR="00FE4681" w:rsidRPr="0057687B" w:rsidRDefault="00FE4681" w:rsidP="00FE4681">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Голова постійної комісії з питань бюджету, фінансів, соціально-економічної політики, інвестицій та ринкових відносин (за згодою)</w:t>
      </w:r>
    </w:p>
    <w:p w:rsidR="00FE4681" w:rsidRPr="00CF0E4F" w:rsidRDefault="00FE4681" w:rsidP="00FE4681">
      <w:pPr>
        <w:spacing w:after="0" w:line="240" w:lineRule="auto"/>
        <w:rPr>
          <w:rFonts w:ascii="Times New Roman" w:hAnsi="Times New Roman" w:cs="Times New Roman"/>
        </w:rPr>
      </w:pPr>
    </w:p>
    <w:p w:rsidR="00FE4681" w:rsidRPr="0057687B" w:rsidRDefault="00FE4681" w:rsidP="00FE4681">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Голова постійної комісії з питань законності, регламенту, депутатської діяльності, захисту прав громадян (за згодою)</w:t>
      </w:r>
    </w:p>
    <w:p w:rsidR="00FE4681" w:rsidRPr="00CF0E4F" w:rsidRDefault="00FE4681" w:rsidP="00FE4681">
      <w:pPr>
        <w:spacing w:after="0" w:line="240" w:lineRule="auto"/>
        <w:rPr>
          <w:rFonts w:ascii="Times New Roman" w:hAnsi="Times New Roman" w:cs="Times New Roman"/>
        </w:rPr>
      </w:pPr>
    </w:p>
    <w:p w:rsidR="00FE4681" w:rsidRDefault="00FE4681" w:rsidP="00FE4681">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Голова постійної комісії з питань містобудування, землекористування, охорони навколишнього середовища та історичної спадщини (за згодою)</w:t>
      </w:r>
    </w:p>
    <w:p w:rsidR="00CF0E4F" w:rsidRPr="00CF0E4F" w:rsidRDefault="00CF0E4F" w:rsidP="00FE4681">
      <w:pPr>
        <w:spacing w:after="0" w:line="240" w:lineRule="auto"/>
        <w:rPr>
          <w:rFonts w:ascii="Times New Roman" w:hAnsi="Times New Roman" w:cs="Times New Roman"/>
        </w:rPr>
      </w:pPr>
    </w:p>
    <w:p w:rsidR="00CF0E4F" w:rsidRPr="0057687B" w:rsidRDefault="00CF0E4F" w:rsidP="00FE4681">
      <w:pPr>
        <w:spacing w:after="0" w:line="240" w:lineRule="auto"/>
        <w:rPr>
          <w:rFonts w:ascii="Times New Roman" w:hAnsi="Times New Roman" w:cs="Times New Roman"/>
          <w:sz w:val="25"/>
          <w:szCs w:val="25"/>
        </w:rPr>
      </w:pPr>
      <w:r>
        <w:rPr>
          <w:rFonts w:ascii="Times New Roman" w:hAnsi="Times New Roman" w:cs="Times New Roman"/>
          <w:sz w:val="25"/>
          <w:szCs w:val="25"/>
        </w:rPr>
        <w:t>Голови депутатських фракцій</w:t>
      </w:r>
    </w:p>
    <w:p w:rsidR="00FE4681" w:rsidRPr="00CF0E4F" w:rsidRDefault="00FE4681" w:rsidP="00FE4681">
      <w:pPr>
        <w:spacing w:after="0" w:line="240" w:lineRule="auto"/>
        <w:rPr>
          <w:rFonts w:ascii="Times New Roman" w:hAnsi="Times New Roman" w:cs="Times New Roman"/>
        </w:rPr>
      </w:pPr>
    </w:p>
    <w:p w:rsidR="005B78FC" w:rsidRDefault="00284313" w:rsidP="000C244E">
      <w:pPr>
        <w:spacing w:after="0" w:line="240" w:lineRule="auto"/>
        <w:rPr>
          <w:rFonts w:ascii="Times New Roman" w:hAnsi="Times New Roman" w:cs="Times New Roman"/>
          <w:sz w:val="25"/>
          <w:szCs w:val="25"/>
        </w:rPr>
      </w:pPr>
      <w:r w:rsidRPr="0057687B">
        <w:rPr>
          <w:rFonts w:ascii="Times New Roman" w:hAnsi="Times New Roman" w:cs="Times New Roman"/>
          <w:sz w:val="25"/>
          <w:szCs w:val="25"/>
        </w:rPr>
        <w:t xml:space="preserve">До </w:t>
      </w:r>
      <w:r w:rsidR="004B6315" w:rsidRPr="0057687B">
        <w:rPr>
          <w:rFonts w:ascii="Times New Roman" w:hAnsi="Times New Roman" w:cs="Times New Roman"/>
          <w:sz w:val="25"/>
          <w:szCs w:val="25"/>
        </w:rPr>
        <w:t xml:space="preserve">персонального </w:t>
      </w:r>
      <w:r w:rsidRPr="0057687B">
        <w:rPr>
          <w:rFonts w:ascii="Times New Roman" w:hAnsi="Times New Roman" w:cs="Times New Roman"/>
          <w:sz w:val="25"/>
          <w:szCs w:val="25"/>
        </w:rPr>
        <w:t>складу комісії можуть також входити представники інших органів місцевого самоврядування</w:t>
      </w:r>
      <w:r w:rsidR="004D3BCD" w:rsidRPr="0057687B">
        <w:rPr>
          <w:rFonts w:ascii="Times New Roman" w:hAnsi="Times New Roman" w:cs="Times New Roman"/>
          <w:sz w:val="25"/>
          <w:szCs w:val="25"/>
        </w:rPr>
        <w:t>, в залежності від напрямку здійснення публічно-приватного партнерства.</w:t>
      </w:r>
    </w:p>
    <w:p w:rsidR="0057687B" w:rsidRPr="0057687B" w:rsidRDefault="0057687B" w:rsidP="000C244E">
      <w:pPr>
        <w:spacing w:after="0" w:line="240" w:lineRule="auto"/>
        <w:rPr>
          <w:rFonts w:ascii="Times New Roman" w:hAnsi="Times New Roman" w:cs="Times New Roman"/>
          <w:sz w:val="25"/>
          <w:szCs w:val="25"/>
        </w:rPr>
      </w:pPr>
    </w:p>
    <w:p w:rsidR="004D3BCD" w:rsidRDefault="0057687B" w:rsidP="000C244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Секретар міської ради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73847">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Олександр СКАЛОЗУБ</w:t>
      </w:r>
    </w:p>
    <w:p w:rsidR="000C244E" w:rsidRPr="000C244E" w:rsidRDefault="001B16DC" w:rsidP="000C244E">
      <w:pPr>
        <w:spacing w:after="0" w:line="240" w:lineRule="auto"/>
        <w:rPr>
          <w:rFonts w:ascii="Times New Roman" w:hAnsi="Times New Roman" w:cs="Times New Roman"/>
          <w:sz w:val="26"/>
          <w:szCs w:val="26"/>
        </w:rPr>
      </w:pPr>
      <w:r w:rsidRPr="001B16DC">
        <w:rPr>
          <w:rFonts w:ascii="Times New Roman" w:eastAsia="Calibri" w:hAnsi="Times New Roman" w:cs="Times New Roman"/>
          <w:noProof/>
          <w:sz w:val="26"/>
          <w:szCs w:val="26"/>
          <w:lang w:eastAsia="uk-UA"/>
        </w:rPr>
        <w:lastRenderedPageBreak/>
        <w:pict>
          <v:shape id="_x0000_s1027" type="#_x0000_t202" style="position:absolute;margin-left:245.7pt;margin-top:0;width:237.7pt;height:53.2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" filled="f" stroked="f">
            <v:textbox>
              <w:txbxContent>
                <w:p w:rsidR="00401CA3" w:rsidRPr="006572C0" w:rsidRDefault="00401CA3" w:rsidP="00401CA3">
                  <w:pPr>
                    <w:spacing w:after="0" w:line="240" w:lineRule="auto"/>
                    <w:rPr>
                      <w:rFonts w:ascii="Times New Roman" w:eastAsia="Calibri" w:hAnsi="Times New Roman" w:cs="Times New Roman"/>
                      <w:sz w:val="24"/>
                      <w:szCs w:val="24"/>
                      <w:lang w:eastAsia="ru-RU"/>
                    </w:rPr>
                  </w:pPr>
                  <w:r w:rsidRPr="006572C0">
                    <w:rPr>
                      <w:rFonts w:ascii="Times New Roman" w:eastAsia="Calibri" w:hAnsi="Times New Roman" w:cs="Times New Roman"/>
                      <w:sz w:val="24"/>
                      <w:szCs w:val="24"/>
                      <w:lang w:eastAsia="ru-RU"/>
                    </w:rPr>
                    <w:t xml:space="preserve">Додаток </w:t>
                  </w:r>
                  <w:r w:rsidR="009419DE" w:rsidRPr="006572C0">
                    <w:rPr>
                      <w:rFonts w:ascii="Times New Roman" w:eastAsia="Calibri" w:hAnsi="Times New Roman" w:cs="Times New Roman"/>
                      <w:sz w:val="24"/>
                      <w:szCs w:val="24"/>
                      <w:lang w:eastAsia="ru-RU"/>
                    </w:rPr>
                    <w:t xml:space="preserve">2 </w:t>
                  </w:r>
                  <w:r w:rsidRPr="006572C0">
                    <w:rPr>
                      <w:rFonts w:ascii="Times New Roman" w:eastAsia="Calibri" w:hAnsi="Times New Roman" w:cs="Times New Roman"/>
                      <w:sz w:val="24"/>
                      <w:szCs w:val="24"/>
                      <w:lang w:eastAsia="ru-RU"/>
                    </w:rPr>
                    <w:t xml:space="preserve">до рішення </w:t>
                  </w:r>
                </w:p>
                <w:p w:rsidR="00401CA3" w:rsidRPr="006572C0" w:rsidRDefault="00401CA3" w:rsidP="00401CA3">
                  <w:pPr>
                    <w:spacing w:after="0" w:line="240" w:lineRule="auto"/>
                    <w:rPr>
                      <w:rFonts w:ascii="Times New Roman" w:eastAsia="Calibri" w:hAnsi="Times New Roman" w:cs="Times New Roman"/>
                      <w:sz w:val="24"/>
                      <w:szCs w:val="24"/>
                      <w:lang w:eastAsia="ru-RU"/>
                    </w:rPr>
                  </w:pPr>
                  <w:r w:rsidRPr="006572C0">
                    <w:rPr>
                      <w:rFonts w:ascii="Times New Roman" w:eastAsia="Calibri" w:hAnsi="Times New Roman" w:cs="Times New Roman"/>
                      <w:sz w:val="24"/>
                      <w:szCs w:val="24"/>
                      <w:lang w:eastAsia="ru-RU"/>
                    </w:rPr>
                    <w:t>Білгород-Дністровської міської ради</w:t>
                  </w:r>
                </w:p>
                <w:p w:rsidR="00832B94" w:rsidRPr="006572C0" w:rsidRDefault="00832B94" w:rsidP="00832B94">
                  <w:pPr>
                    <w:spacing w:after="0" w:line="240" w:lineRule="auto"/>
                    <w:rPr>
                      <w:rFonts w:ascii="Times New Roman" w:eastAsia="Calibri" w:hAnsi="Times New Roman" w:cs="Times New Roman"/>
                      <w:sz w:val="24"/>
                      <w:szCs w:val="24"/>
                      <w:lang w:eastAsia="ru-RU"/>
                    </w:rPr>
                  </w:pPr>
                  <w:r w:rsidRPr="006572C0">
                    <w:rPr>
                      <w:rFonts w:ascii="Times New Roman" w:eastAsia="Calibri" w:hAnsi="Times New Roman" w:cs="Times New Roman"/>
                      <w:sz w:val="24"/>
                      <w:szCs w:val="24"/>
                      <w:lang w:eastAsia="ru-RU"/>
                    </w:rPr>
                    <w:t xml:space="preserve">від </w:t>
                  </w:r>
                  <w:r>
                    <w:rPr>
                      <w:rFonts w:ascii="Times New Roman" w:eastAsia="Calibri" w:hAnsi="Times New Roman" w:cs="Times New Roman"/>
                      <w:sz w:val="24"/>
                      <w:szCs w:val="24"/>
                      <w:lang w:eastAsia="ru-RU"/>
                    </w:rPr>
                    <w:t>21.04.</w:t>
                  </w:r>
                  <w:r w:rsidRPr="006572C0">
                    <w:rPr>
                      <w:rFonts w:ascii="Times New Roman" w:eastAsia="Calibri" w:hAnsi="Times New Roman" w:cs="Times New Roman"/>
                      <w:sz w:val="24"/>
                      <w:szCs w:val="24"/>
                      <w:lang w:eastAsia="ru-RU"/>
                    </w:rPr>
                    <w:t xml:space="preserve">2026 року № </w:t>
                  </w:r>
                  <w:r>
                    <w:rPr>
                      <w:rFonts w:ascii="Times New Roman" w:eastAsia="Times New Roman" w:hAnsi="Times New Roman"/>
                      <w:sz w:val="24"/>
                      <w:szCs w:val="24"/>
                      <w:lang w:val="en-US" w:eastAsia="uk-UA"/>
                    </w:rPr>
                    <w:t>19</w:t>
                  </w:r>
                  <w:r>
                    <w:rPr>
                      <w:rFonts w:ascii="Times New Roman" w:eastAsia="Times New Roman" w:hAnsi="Times New Roman"/>
                      <w:sz w:val="24"/>
                      <w:szCs w:val="24"/>
                      <w:lang w:eastAsia="uk-UA"/>
                    </w:rPr>
                    <w:t>26</w:t>
                  </w:r>
                  <w:r>
                    <w:rPr>
                      <w:rFonts w:ascii="Times New Roman" w:eastAsia="Times New Roman" w:hAnsi="Times New Roman"/>
                      <w:sz w:val="24"/>
                      <w:szCs w:val="24"/>
                      <w:lang w:val="en-US" w:eastAsia="uk-UA"/>
                    </w:rPr>
                    <w:t>-VIII</w:t>
                  </w:r>
                </w:p>
                <w:p w:rsidR="00401CA3" w:rsidRDefault="00401CA3" w:rsidP="00401CA3"/>
              </w:txbxContent>
            </v:textbox>
            <w10:wrap type="square"/>
          </v:shape>
        </w:pict>
      </w:r>
    </w:p>
    <w:p w:rsidR="00401CA3" w:rsidRDefault="00401CA3" w:rsidP="000C244E">
      <w:pPr>
        <w:spacing w:after="0" w:line="240" w:lineRule="auto"/>
        <w:rPr>
          <w:rFonts w:ascii="Times New Roman" w:hAnsi="Times New Roman" w:cs="Times New Roman"/>
          <w:sz w:val="26"/>
          <w:szCs w:val="26"/>
        </w:rPr>
      </w:pPr>
    </w:p>
    <w:p w:rsidR="00401CA3" w:rsidRDefault="00401CA3" w:rsidP="000C244E">
      <w:pPr>
        <w:spacing w:after="0" w:line="240" w:lineRule="auto"/>
        <w:rPr>
          <w:rFonts w:ascii="Times New Roman" w:hAnsi="Times New Roman" w:cs="Times New Roman"/>
          <w:sz w:val="26"/>
          <w:szCs w:val="26"/>
        </w:rPr>
      </w:pPr>
    </w:p>
    <w:p w:rsidR="00401CA3" w:rsidRDefault="00401CA3" w:rsidP="000C244E">
      <w:pPr>
        <w:spacing w:after="0" w:line="240" w:lineRule="auto"/>
        <w:rPr>
          <w:rFonts w:ascii="Times New Roman" w:hAnsi="Times New Roman" w:cs="Times New Roman"/>
          <w:sz w:val="26"/>
          <w:szCs w:val="26"/>
        </w:rPr>
      </w:pPr>
    </w:p>
    <w:p w:rsidR="00983A8C" w:rsidRDefault="00983A8C" w:rsidP="000C244E">
      <w:pPr>
        <w:spacing w:after="0" w:line="240" w:lineRule="auto"/>
        <w:rPr>
          <w:rFonts w:ascii="Times New Roman" w:hAnsi="Times New Roman" w:cs="Times New Roman"/>
          <w:sz w:val="26"/>
          <w:szCs w:val="26"/>
        </w:rPr>
      </w:pPr>
    </w:p>
    <w:p w:rsidR="000C244E" w:rsidRPr="0037184A" w:rsidRDefault="000C244E" w:rsidP="00C87955">
      <w:p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ПОЛОЖЕННЯ</w:t>
      </w:r>
    </w:p>
    <w:p w:rsidR="00C87955" w:rsidRPr="0037184A" w:rsidRDefault="00C87955" w:rsidP="00C87955">
      <w:p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Про постійно діючу конкурсну комісію із визначення приватного партнера для здійснення публічно-приватного партнерства (в тому числі на умовах концесії)</w:t>
      </w:r>
    </w:p>
    <w:p w:rsidR="00C87955" w:rsidRPr="0037184A" w:rsidRDefault="00C87955" w:rsidP="000C244E">
      <w:pPr>
        <w:spacing w:after="0" w:line="240" w:lineRule="auto"/>
        <w:rPr>
          <w:rFonts w:ascii="Times New Roman" w:hAnsi="Times New Roman" w:cs="Times New Roman"/>
          <w:sz w:val="24"/>
          <w:szCs w:val="24"/>
        </w:rPr>
      </w:pPr>
    </w:p>
    <w:p w:rsidR="000C244E" w:rsidRPr="0037184A" w:rsidRDefault="000C244E" w:rsidP="009D2F19">
      <w:pPr>
        <w:pStyle w:val="a3"/>
        <w:numPr>
          <w:ilvl w:val="0"/>
          <w:numId w:val="2"/>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ЗАГАЛЬНІ ПОЛОЖЕННЯ</w:t>
      </w:r>
    </w:p>
    <w:p w:rsidR="00427E84" w:rsidRPr="0037184A" w:rsidRDefault="000C244E" w:rsidP="00165C2D">
      <w:pPr>
        <w:pStyle w:val="a3"/>
        <w:numPr>
          <w:ilvl w:val="1"/>
          <w:numId w:val="3"/>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Це Положення розроблене відповідно до Законів України «Про</w:t>
      </w:r>
      <w:r w:rsidR="006D2160" w:rsidRPr="0037184A">
        <w:rPr>
          <w:rFonts w:ascii="Times New Roman" w:hAnsi="Times New Roman" w:cs="Times New Roman"/>
          <w:sz w:val="24"/>
          <w:szCs w:val="24"/>
        </w:rPr>
        <w:t xml:space="preserve"> публічно</w:t>
      </w:r>
      <w:r w:rsidRPr="0037184A">
        <w:rPr>
          <w:rFonts w:ascii="Times New Roman" w:hAnsi="Times New Roman" w:cs="Times New Roman"/>
          <w:sz w:val="24"/>
          <w:szCs w:val="24"/>
        </w:rPr>
        <w:t>-приватне партнерство», «Про концесію».</w:t>
      </w:r>
    </w:p>
    <w:p w:rsidR="000C244E" w:rsidRPr="0037184A" w:rsidRDefault="000C244E" w:rsidP="009D3358">
      <w:pPr>
        <w:pStyle w:val="a3"/>
        <w:numPr>
          <w:ilvl w:val="1"/>
          <w:numId w:val="3"/>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Метою </w:t>
      </w:r>
      <w:r w:rsidR="00427E84" w:rsidRPr="0037184A">
        <w:rPr>
          <w:rFonts w:ascii="Times New Roman" w:hAnsi="Times New Roman" w:cs="Times New Roman"/>
          <w:sz w:val="24"/>
          <w:szCs w:val="24"/>
        </w:rPr>
        <w:t>утворення постійно діючої конкурсної комісії із визначення приватного партнера для здійснення публічно-приватного партнерства (в тому числі на умовах концесії)</w:t>
      </w:r>
      <w:r w:rsidRPr="0037184A">
        <w:rPr>
          <w:rFonts w:ascii="Times New Roman" w:hAnsi="Times New Roman" w:cs="Times New Roman"/>
          <w:sz w:val="24"/>
          <w:szCs w:val="24"/>
        </w:rPr>
        <w:t xml:space="preserve"> (далі – Комісія) є забезпечення </w:t>
      </w:r>
      <w:proofErr w:type="spellStart"/>
      <w:r w:rsidRPr="0037184A">
        <w:rPr>
          <w:rFonts w:ascii="Times New Roman" w:hAnsi="Times New Roman" w:cs="Times New Roman"/>
          <w:sz w:val="24"/>
          <w:szCs w:val="24"/>
        </w:rPr>
        <w:t>конкурентності</w:t>
      </w:r>
      <w:proofErr w:type="spellEnd"/>
      <w:r w:rsidRPr="0037184A">
        <w:rPr>
          <w:rFonts w:ascii="Times New Roman" w:hAnsi="Times New Roman" w:cs="Times New Roman"/>
          <w:sz w:val="24"/>
          <w:szCs w:val="24"/>
        </w:rPr>
        <w:t>,</w:t>
      </w:r>
      <w:r w:rsidR="00165C2D" w:rsidRPr="0037184A">
        <w:rPr>
          <w:rFonts w:ascii="Times New Roman" w:hAnsi="Times New Roman" w:cs="Times New Roman"/>
          <w:sz w:val="24"/>
          <w:szCs w:val="24"/>
        </w:rPr>
        <w:t xml:space="preserve"> </w:t>
      </w:r>
      <w:r w:rsidRPr="0037184A">
        <w:rPr>
          <w:rFonts w:ascii="Times New Roman" w:hAnsi="Times New Roman" w:cs="Times New Roman"/>
          <w:sz w:val="24"/>
          <w:szCs w:val="24"/>
        </w:rPr>
        <w:t>справедливості, неупередженості, послідовності та високопрофесійного рівня</w:t>
      </w:r>
      <w:r w:rsidR="00165C2D" w:rsidRPr="0037184A">
        <w:rPr>
          <w:rFonts w:ascii="Times New Roman" w:hAnsi="Times New Roman" w:cs="Times New Roman"/>
          <w:sz w:val="24"/>
          <w:szCs w:val="24"/>
        </w:rPr>
        <w:t xml:space="preserve"> </w:t>
      </w:r>
      <w:r w:rsidRPr="0037184A">
        <w:rPr>
          <w:rFonts w:ascii="Times New Roman" w:hAnsi="Times New Roman" w:cs="Times New Roman"/>
          <w:sz w:val="24"/>
          <w:szCs w:val="24"/>
        </w:rPr>
        <w:t>організації та проведення конкурсу з визначення приватного партнера для</w:t>
      </w:r>
      <w:r w:rsidR="00165C2D" w:rsidRPr="0037184A">
        <w:rPr>
          <w:rFonts w:ascii="Times New Roman" w:hAnsi="Times New Roman" w:cs="Times New Roman"/>
          <w:sz w:val="24"/>
          <w:szCs w:val="24"/>
        </w:rPr>
        <w:t xml:space="preserve"> здійснення публічно</w:t>
      </w:r>
      <w:r w:rsidRPr="0037184A">
        <w:rPr>
          <w:rFonts w:ascii="Times New Roman" w:hAnsi="Times New Roman" w:cs="Times New Roman"/>
          <w:sz w:val="24"/>
          <w:szCs w:val="24"/>
        </w:rPr>
        <w:t xml:space="preserve">-приватного партнерства </w:t>
      </w:r>
      <w:r w:rsidR="00165C2D" w:rsidRPr="0037184A">
        <w:rPr>
          <w:rFonts w:ascii="Times New Roman" w:hAnsi="Times New Roman" w:cs="Times New Roman"/>
          <w:sz w:val="24"/>
          <w:szCs w:val="24"/>
        </w:rPr>
        <w:t xml:space="preserve">(у тому числі у формі </w:t>
      </w:r>
      <w:r w:rsidRPr="0037184A">
        <w:rPr>
          <w:rFonts w:ascii="Times New Roman" w:hAnsi="Times New Roman" w:cs="Times New Roman"/>
          <w:sz w:val="24"/>
          <w:szCs w:val="24"/>
        </w:rPr>
        <w:t>концесії</w:t>
      </w:r>
      <w:r w:rsidR="00165C2D" w:rsidRPr="0037184A">
        <w:rPr>
          <w:rFonts w:ascii="Times New Roman" w:hAnsi="Times New Roman" w:cs="Times New Roman"/>
          <w:sz w:val="24"/>
          <w:szCs w:val="24"/>
        </w:rPr>
        <w:t>)</w:t>
      </w:r>
      <w:r w:rsidRPr="0037184A">
        <w:rPr>
          <w:rFonts w:ascii="Times New Roman" w:hAnsi="Times New Roman" w:cs="Times New Roman"/>
          <w:sz w:val="24"/>
          <w:szCs w:val="24"/>
        </w:rPr>
        <w:t xml:space="preserve"> (далі – Конкурс)</w:t>
      </w:r>
      <w:r w:rsidR="00165C2D" w:rsidRPr="0037184A">
        <w:rPr>
          <w:rFonts w:ascii="Times New Roman" w:hAnsi="Times New Roman" w:cs="Times New Roman"/>
          <w:sz w:val="24"/>
          <w:szCs w:val="24"/>
        </w:rPr>
        <w:t>.</w:t>
      </w:r>
    </w:p>
    <w:p w:rsidR="00F26CB0" w:rsidRPr="0037184A" w:rsidRDefault="000C244E" w:rsidP="00F26CB0">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1.3</w:t>
      </w:r>
      <w:r w:rsidR="00483148" w:rsidRPr="0037184A">
        <w:rPr>
          <w:rFonts w:ascii="Times New Roman" w:hAnsi="Times New Roman" w:cs="Times New Roman"/>
          <w:sz w:val="24"/>
          <w:szCs w:val="24"/>
        </w:rPr>
        <w:t>.</w:t>
      </w:r>
      <w:r w:rsidRPr="0037184A">
        <w:rPr>
          <w:rFonts w:ascii="Times New Roman" w:hAnsi="Times New Roman" w:cs="Times New Roman"/>
          <w:sz w:val="24"/>
          <w:szCs w:val="24"/>
        </w:rPr>
        <w:t xml:space="preserve"> Комісія утворюється з метою визначення </w:t>
      </w:r>
      <w:r w:rsidR="00F26CB0" w:rsidRPr="0037184A">
        <w:rPr>
          <w:rFonts w:ascii="Times New Roman" w:hAnsi="Times New Roman" w:cs="Times New Roman"/>
          <w:sz w:val="24"/>
          <w:szCs w:val="24"/>
        </w:rPr>
        <w:t xml:space="preserve">приватного партнера для укладення договору публічно-приватного партнерства (далі </w:t>
      </w:r>
      <w:r w:rsidR="00082D84" w:rsidRPr="0037184A">
        <w:rPr>
          <w:rFonts w:ascii="Times New Roman" w:hAnsi="Times New Roman" w:cs="Times New Roman"/>
          <w:sz w:val="24"/>
          <w:szCs w:val="24"/>
        </w:rPr>
        <w:t xml:space="preserve">- </w:t>
      </w:r>
      <w:r w:rsidR="00F26CB0" w:rsidRPr="0037184A">
        <w:rPr>
          <w:rFonts w:ascii="Times New Roman" w:hAnsi="Times New Roman" w:cs="Times New Roman"/>
          <w:sz w:val="24"/>
          <w:szCs w:val="24"/>
        </w:rPr>
        <w:t>ППП) на конкурсних засадах.</w:t>
      </w:r>
    </w:p>
    <w:p w:rsidR="000C244E" w:rsidRPr="0037184A" w:rsidRDefault="000C244E" w:rsidP="005C2D35">
      <w:pPr>
        <w:spacing w:after="0" w:line="240" w:lineRule="auto"/>
        <w:ind w:firstLine="567"/>
        <w:rPr>
          <w:rFonts w:ascii="Times New Roman" w:hAnsi="Times New Roman" w:cs="Times New Roman"/>
          <w:sz w:val="24"/>
          <w:szCs w:val="24"/>
        </w:rPr>
      </w:pPr>
      <w:r w:rsidRPr="0037184A">
        <w:rPr>
          <w:rFonts w:ascii="Times New Roman" w:hAnsi="Times New Roman" w:cs="Times New Roman"/>
          <w:sz w:val="24"/>
          <w:szCs w:val="24"/>
        </w:rPr>
        <w:t>1.4 Діяльність Комісії базується на принципах добровільності,</w:t>
      </w:r>
      <w:r w:rsidR="005C2D35" w:rsidRPr="0037184A">
        <w:rPr>
          <w:rFonts w:ascii="Times New Roman" w:hAnsi="Times New Roman" w:cs="Times New Roman"/>
          <w:sz w:val="24"/>
          <w:szCs w:val="24"/>
        </w:rPr>
        <w:t xml:space="preserve"> </w:t>
      </w:r>
      <w:r w:rsidRPr="0037184A">
        <w:rPr>
          <w:rFonts w:ascii="Times New Roman" w:hAnsi="Times New Roman" w:cs="Times New Roman"/>
          <w:sz w:val="24"/>
          <w:szCs w:val="24"/>
        </w:rPr>
        <w:t>рівноправності її членів, законності, гласності та демократії.</w:t>
      </w:r>
    </w:p>
    <w:p w:rsidR="00A50203" w:rsidRPr="0037184A" w:rsidRDefault="00A50203" w:rsidP="00A50203">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1.5. Питання щодо роботи Комісії, які не врегульовані цім Положенням, регулюються  Законом України «Про публічно-приватне партнерство» з особливостями передбаченими  законом України «Про концесію», якщо публічно-приватне партнерство здійснюється у формі концесії, або змішано та іншими </w:t>
      </w:r>
      <w:r w:rsidR="001D4CFB" w:rsidRPr="0037184A">
        <w:rPr>
          <w:rFonts w:ascii="Times New Roman" w:hAnsi="Times New Roman" w:cs="Times New Roman"/>
          <w:sz w:val="24"/>
          <w:szCs w:val="24"/>
        </w:rPr>
        <w:t xml:space="preserve">чинними </w:t>
      </w:r>
      <w:r w:rsidRPr="0037184A">
        <w:rPr>
          <w:rFonts w:ascii="Times New Roman" w:hAnsi="Times New Roman" w:cs="Times New Roman"/>
          <w:sz w:val="24"/>
          <w:szCs w:val="24"/>
        </w:rPr>
        <w:t>нормативно-правовими актами</w:t>
      </w:r>
      <w:r w:rsidR="001D4CFB" w:rsidRPr="0037184A">
        <w:rPr>
          <w:rFonts w:ascii="Times New Roman" w:hAnsi="Times New Roman" w:cs="Times New Roman"/>
          <w:sz w:val="24"/>
          <w:szCs w:val="24"/>
        </w:rPr>
        <w:t xml:space="preserve"> України</w:t>
      </w:r>
      <w:r w:rsidRPr="0037184A">
        <w:rPr>
          <w:rFonts w:ascii="Times New Roman" w:hAnsi="Times New Roman" w:cs="Times New Roman"/>
          <w:sz w:val="24"/>
          <w:szCs w:val="24"/>
        </w:rPr>
        <w:t>.</w:t>
      </w:r>
    </w:p>
    <w:p w:rsidR="005C2D35" w:rsidRPr="0037184A" w:rsidRDefault="005C2D35" w:rsidP="005C2D35">
      <w:pPr>
        <w:spacing w:after="0" w:line="240" w:lineRule="auto"/>
        <w:ind w:firstLine="567"/>
        <w:rPr>
          <w:rFonts w:ascii="Times New Roman" w:hAnsi="Times New Roman" w:cs="Times New Roman"/>
          <w:sz w:val="24"/>
          <w:szCs w:val="24"/>
        </w:rPr>
      </w:pPr>
    </w:p>
    <w:p w:rsidR="000C244E" w:rsidRPr="0037184A" w:rsidRDefault="000C244E" w:rsidP="00275BDF">
      <w:p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2. СКЛАД ТА ПОРЯДОК УТВОРЕННЯ КОМІСІЇ</w:t>
      </w:r>
    </w:p>
    <w:p w:rsidR="000C244E" w:rsidRPr="0037184A" w:rsidRDefault="000C244E" w:rsidP="00275BDF">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2.1. Основними принципами діяльності Комісії є:</w:t>
      </w:r>
    </w:p>
    <w:p w:rsidR="00082D84" w:rsidRPr="0037184A" w:rsidRDefault="00082D84" w:rsidP="00275BDF">
      <w:pPr>
        <w:spacing w:after="0" w:line="240" w:lineRule="auto"/>
        <w:jc w:val="both"/>
        <w:rPr>
          <w:rFonts w:ascii="Times New Roman" w:hAnsi="Times New Roman" w:cs="Times New Roman"/>
          <w:sz w:val="24"/>
          <w:szCs w:val="24"/>
        </w:rPr>
      </w:pPr>
      <w:r w:rsidRPr="0037184A">
        <w:rPr>
          <w:rFonts w:ascii="Times New Roman" w:hAnsi="Times New Roman" w:cs="Times New Roman"/>
          <w:sz w:val="24"/>
          <w:szCs w:val="24"/>
        </w:rPr>
        <w:t xml:space="preserve">- </w:t>
      </w:r>
      <w:r w:rsidR="000C244E" w:rsidRPr="0037184A">
        <w:rPr>
          <w:rFonts w:ascii="Times New Roman" w:hAnsi="Times New Roman" w:cs="Times New Roman"/>
          <w:sz w:val="24"/>
          <w:szCs w:val="24"/>
        </w:rPr>
        <w:t>до</w:t>
      </w:r>
      <w:r w:rsidRPr="0037184A">
        <w:rPr>
          <w:rFonts w:ascii="Times New Roman" w:hAnsi="Times New Roman" w:cs="Times New Roman"/>
          <w:sz w:val="24"/>
          <w:szCs w:val="24"/>
        </w:rPr>
        <w:t>держання чинного законодавства;</w:t>
      </w:r>
    </w:p>
    <w:p w:rsidR="00082D84" w:rsidRPr="0037184A" w:rsidRDefault="00082D84" w:rsidP="00275BDF">
      <w:pPr>
        <w:spacing w:after="0" w:line="240" w:lineRule="auto"/>
        <w:jc w:val="both"/>
        <w:rPr>
          <w:rFonts w:ascii="Times New Roman" w:hAnsi="Times New Roman" w:cs="Times New Roman"/>
          <w:sz w:val="24"/>
          <w:szCs w:val="24"/>
        </w:rPr>
      </w:pPr>
      <w:r w:rsidRPr="0037184A">
        <w:rPr>
          <w:rFonts w:ascii="Times New Roman" w:hAnsi="Times New Roman" w:cs="Times New Roman"/>
          <w:sz w:val="24"/>
          <w:szCs w:val="24"/>
        </w:rPr>
        <w:t xml:space="preserve">- </w:t>
      </w:r>
      <w:r w:rsidR="000C244E" w:rsidRPr="0037184A">
        <w:rPr>
          <w:rFonts w:ascii="Times New Roman" w:hAnsi="Times New Roman" w:cs="Times New Roman"/>
          <w:sz w:val="24"/>
          <w:szCs w:val="24"/>
        </w:rPr>
        <w:t>к</w:t>
      </w:r>
      <w:r w:rsidRPr="0037184A">
        <w:rPr>
          <w:rFonts w:ascii="Times New Roman" w:hAnsi="Times New Roman" w:cs="Times New Roman"/>
          <w:sz w:val="24"/>
          <w:szCs w:val="24"/>
        </w:rPr>
        <w:t>олегіальність прийняття рішень;</w:t>
      </w:r>
    </w:p>
    <w:p w:rsidR="00082D84" w:rsidRPr="0037184A" w:rsidRDefault="00082D84" w:rsidP="00275BDF">
      <w:pPr>
        <w:spacing w:after="0" w:line="240" w:lineRule="auto"/>
        <w:jc w:val="both"/>
        <w:rPr>
          <w:rFonts w:ascii="Times New Roman" w:hAnsi="Times New Roman" w:cs="Times New Roman"/>
          <w:sz w:val="24"/>
          <w:szCs w:val="24"/>
        </w:rPr>
      </w:pPr>
      <w:r w:rsidRPr="0037184A">
        <w:rPr>
          <w:rFonts w:ascii="Times New Roman" w:hAnsi="Times New Roman" w:cs="Times New Roman"/>
          <w:sz w:val="24"/>
          <w:szCs w:val="24"/>
        </w:rPr>
        <w:t xml:space="preserve">- </w:t>
      </w:r>
      <w:r w:rsidR="000C244E" w:rsidRPr="0037184A">
        <w:rPr>
          <w:rFonts w:ascii="Times New Roman" w:hAnsi="Times New Roman" w:cs="Times New Roman"/>
          <w:sz w:val="24"/>
          <w:szCs w:val="24"/>
        </w:rPr>
        <w:t>повнота розгляду конкурсних пропозицій відповідно до встановлених</w:t>
      </w:r>
      <w:r w:rsidR="00275BDF" w:rsidRPr="0037184A">
        <w:rPr>
          <w:rFonts w:ascii="Times New Roman" w:hAnsi="Times New Roman" w:cs="Times New Roman"/>
          <w:sz w:val="24"/>
          <w:szCs w:val="24"/>
        </w:rPr>
        <w:t xml:space="preserve"> </w:t>
      </w:r>
      <w:r w:rsidRPr="0037184A">
        <w:rPr>
          <w:rFonts w:ascii="Times New Roman" w:hAnsi="Times New Roman" w:cs="Times New Roman"/>
          <w:sz w:val="24"/>
          <w:szCs w:val="24"/>
        </w:rPr>
        <w:t>умов конкурсу;</w:t>
      </w:r>
    </w:p>
    <w:p w:rsidR="00082D84" w:rsidRPr="0037184A" w:rsidRDefault="00082D84" w:rsidP="00275BDF">
      <w:pPr>
        <w:spacing w:after="0" w:line="240" w:lineRule="auto"/>
        <w:jc w:val="both"/>
        <w:rPr>
          <w:rFonts w:ascii="Times New Roman" w:hAnsi="Times New Roman" w:cs="Times New Roman"/>
          <w:sz w:val="24"/>
          <w:szCs w:val="24"/>
        </w:rPr>
      </w:pPr>
      <w:r w:rsidRPr="0037184A">
        <w:rPr>
          <w:rFonts w:ascii="Times New Roman" w:hAnsi="Times New Roman" w:cs="Times New Roman"/>
          <w:sz w:val="24"/>
          <w:szCs w:val="24"/>
        </w:rPr>
        <w:t xml:space="preserve">- </w:t>
      </w:r>
      <w:r w:rsidR="000C244E" w:rsidRPr="0037184A">
        <w:rPr>
          <w:rFonts w:ascii="Times New Roman" w:hAnsi="Times New Roman" w:cs="Times New Roman"/>
          <w:sz w:val="24"/>
          <w:szCs w:val="24"/>
        </w:rPr>
        <w:t>об</w:t>
      </w:r>
      <w:r w:rsidRPr="0037184A">
        <w:rPr>
          <w:rFonts w:ascii="Times New Roman" w:hAnsi="Times New Roman" w:cs="Times New Roman"/>
          <w:sz w:val="24"/>
          <w:szCs w:val="24"/>
        </w:rPr>
        <w:t>ґрунтованість прийняття рішень;</w:t>
      </w:r>
    </w:p>
    <w:p w:rsidR="000C244E" w:rsidRPr="0037184A" w:rsidRDefault="00082D84" w:rsidP="00275BDF">
      <w:pPr>
        <w:spacing w:after="0" w:line="240" w:lineRule="auto"/>
        <w:jc w:val="both"/>
        <w:rPr>
          <w:rFonts w:ascii="Times New Roman" w:hAnsi="Times New Roman" w:cs="Times New Roman"/>
          <w:sz w:val="24"/>
          <w:szCs w:val="24"/>
        </w:rPr>
      </w:pPr>
      <w:r w:rsidRPr="0037184A">
        <w:rPr>
          <w:rFonts w:ascii="Times New Roman" w:hAnsi="Times New Roman" w:cs="Times New Roman"/>
          <w:sz w:val="24"/>
          <w:szCs w:val="24"/>
        </w:rPr>
        <w:t xml:space="preserve">- </w:t>
      </w:r>
      <w:r w:rsidR="000C244E" w:rsidRPr="0037184A">
        <w:rPr>
          <w:rFonts w:ascii="Times New Roman" w:hAnsi="Times New Roman" w:cs="Times New Roman"/>
          <w:sz w:val="24"/>
          <w:szCs w:val="24"/>
        </w:rPr>
        <w:t>рівність усіх претендентів (учасників) перед Комісією;</w:t>
      </w:r>
    </w:p>
    <w:p w:rsidR="0045650A" w:rsidRPr="0037184A" w:rsidRDefault="000C244E"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w:t>
      </w:r>
      <w:r w:rsidR="00275BDF" w:rsidRPr="0037184A">
        <w:rPr>
          <w:rFonts w:ascii="Times New Roman" w:hAnsi="Times New Roman" w:cs="Times New Roman"/>
          <w:sz w:val="24"/>
          <w:szCs w:val="24"/>
        </w:rPr>
        <w:t>2</w:t>
      </w:r>
      <w:r w:rsidRPr="0037184A">
        <w:rPr>
          <w:rFonts w:ascii="Times New Roman" w:hAnsi="Times New Roman" w:cs="Times New Roman"/>
          <w:sz w:val="24"/>
          <w:szCs w:val="24"/>
        </w:rPr>
        <w:t>. Комісія працює у формі засідань.</w:t>
      </w:r>
      <w:r w:rsidR="0045650A" w:rsidRPr="0037184A">
        <w:rPr>
          <w:rFonts w:ascii="Times New Roman" w:hAnsi="Times New Roman" w:cs="Times New Roman"/>
          <w:sz w:val="24"/>
          <w:szCs w:val="24"/>
        </w:rPr>
        <w:t xml:space="preserve"> Засідання Комісії є повноважним, за умови присутності на такому засіданні більшості від загального складу комісії.</w:t>
      </w:r>
    </w:p>
    <w:p w:rsidR="0045650A" w:rsidRPr="0037184A" w:rsidRDefault="00275BDF"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2.3. Комісія створюється у кількості не менше 7 осіб та не більше 21 особи і має бути непарною</w:t>
      </w:r>
      <w:r w:rsidR="00B260CA" w:rsidRPr="0037184A">
        <w:rPr>
          <w:rFonts w:ascii="Times New Roman" w:hAnsi="Times New Roman" w:cs="Times New Roman"/>
          <w:sz w:val="24"/>
          <w:szCs w:val="24"/>
        </w:rPr>
        <w:t>.</w:t>
      </w:r>
    </w:p>
    <w:p w:rsidR="0045650A" w:rsidRPr="0037184A" w:rsidRDefault="000C244E"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2.4. </w:t>
      </w:r>
      <w:r w:rsidR="008F2ADC" w:rsidRPr="0037184A">
        <w:rPr>
          <w:rFonts w:ascii="Times New Roman" w:hAnsi="Times New Roman" w:cs="Times New Roman"/>
          <w:sz w:val="24"/>
          <w:szCs w:val="24"/>
        </w:rPr>
        <w:t>Персональний склад Комісії затверджується розпорядженням міського голови у непарній кількості не менше 7 та не більше 21 особи зі персонального складу комісії</w:t>
      </w:r>
      <w:r w:rsidR="00B260CA" w:rsidRPr="0037184A">
        <w:rPr>
          <w:rFonts w:ascii="Times New Roman" w:hAnsi="Times New Roman" w:cs="Times New Roman"/>
          <w:sz w:val="24"/>
          <w:szCs w:val="24"/>
        </w:rPr>
        <w:t>.</w:t>
      </w:r>
    </w:p>
    <w:p w:rsidR="0045650A" w:rsidRPr="0037184A" w:rsidRDefault="00275BDF"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2.5</w:t>
      </w:r>
      <w:r w:rsidR="000C244E" w:rsidRPr="0037184A">
        <w:rPr>
          <w:rFonts w:ascii="Times New Roman" w:hAnsi="Times New Roman" w:cs="Times New Roman"/>
          <w:sz w:val="24"/>
          <w:szCs w:val="24"/>
        </w:rPr>
        <w:t xml:space="preserve">. Зміни у </w:t>
      </w:r>
      <w:r w:rsidRPr="0037184A">
        <w:rPr>
          <w:rFonts w:ascii="Times New Roman" w:hAnsi="Times New Roman" w:cs="Times New Roman"/>
          <w:sz w:val="24"/>
          <w:szCs w:val="24"/>
        </w:rPr>
        <w:t xml:space="preserve">персональний </w:t>
      </w:r>
      <w:r w:rsidR="000C244E" w:rsidRPr="0037184A">
        <w:rPr>
          <w:rFonts w:ascii="Times New Roman" w:hAnsi="Times New Roman" w:cs="Times New Roman"/>
          <w:sz w:val="24"/>
          <w:szCs w:val="24"/>
        </w:rPr>
        <w:t xml:space="preserve">складі Комісії </w:t>
      </w:r>
      <w:r w:rsidRPr="0037184A">
        <w:rPr>
          <w:rFonts w:ascii="Times New Roman" w:hAnsi="Times New Roman" w:cs="Times New Roman"/>
          <w:sz w:val="24"/>
          <w:szCs w:val="24"/>
        </w:rPr>
        <w:t xml:space="preserve">вносяться розпорядженням міського голови </w:t>
      </w:r>
      <w:r w:rsidR="000C244E" w:rsidRPr="0037184A">
        <w:rPr>
          <w:rFonts w:ascii="Times New Roman" w:hAnsi="Times New Roman" w:cs="Times New Roman"/>
          <w:sz w:val="24"/>
          <w:szCs w:val="24"/>
        </w:rPr>
        <w:t>у разі неможливості одного або декількох членів</w:t>
      </w:r>
      <w:r w:rsidRPr="0037184A">
        <w:rPr>
          <w:rFonts w:ascii="Times New Roman" w:hAnsi="Times New Roman" w:cs="Times New Roman"/>
          <w:sz w:val="24"/>
          <w:szCs w:val="24"/>
        </w:rPr>
        <w:t xml:space="preserve"> </w:t>
      </w:r>
      <w:r w:rsidR="000C244E" w:rsidRPr="0037184A">
        <w:rPr>
          <w:rFonts w:ascii="Times New Roman" w:hAnsi="Times New Roman" w:cs="Times New Roman"/>
          <w:sz w:val="24"/>
          <w:szCs w:val="24"/>
        </w:rPr>
        <w:t>Ко</w:t>
      </w:r>
      <w:r w:rsidR="0045650A" w:rsidRPr="0037184A">
        <w:rPr>
          <w:rFonts w:ascii="Times New Roman" w:hAnsi="Times New Roman" w:cs="Times New Roman"/>
          <w:sz w:val="24"/>
          <w:szCs w:val="24"/>
        </w:rPr>
        <w:t>місії брати участь у її роботі;</w:t>
      </w:r>
    </w:p>
    <w:p w:rsidR="0045650A" w:rsidRPr="0037184A" w:rsidRDefault="00082D84"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2.6. У разі необхідності</w:t>
      </w:r>
      <w:r w:rsidR="00B148CD" w:rsidRPr="0037184A">
        <w:rPr>
          <w:rFonts w:ascii="Times New Roman" w:hAnsi="Times New Roman" w:cs="Times New Roman"/>
          <w:sz w:val="24"/>
          <w:szCs w:val="24"/>
        </w:rPr>
        <w:t>,</w:t>
      </w:r>
      <w:r w:rsidRPr="0037184A">
        <w:rPr>
          <w:rFonts w:ascii="Times New Roman" w:hAnsi="Times New Roman" w:cs="Times New Roman"/>
          <w:sz w:val="24"/>
          <w:szCs w:val="24"/>
        </w:rPr>
        <w:t xml:space="preserve"> розпорядженням міського голови</w:t>
      </w:r>
      <w:r w:rsidR="00B148CD" w:rsidRPr="0037184A">
        <w:rPr>
          <w:rFonts w:ascii="Times New Roman" w:hAnsi="Times New Roman" w:cs="Times New Roman"/>
          <w:sz w:val="24"/>
          <w:szCs w:val="24"/>
        </w:rPr>
        <w:t>,</w:t>
      </w:r>
      <w:r w:rsidRPr="0037184A">
        <w:rPr>
          <w:rFonts w:ascii="Times New Roman" w:hAnsi="Times New Roman" w:cs="Times New Roman"/>
          <w:sz w:val="24"/>
          <w:szCs w:val="24"/>
        </w:rPr>
        <w:t xml:space="preserve"> може затверджуватися персональний склад конкурсної комісії для організації та проведення конку</w:t>
      </w:r>
      <w:r w:rsidR="00B148CD" w:rsidRPr="0037184A">
        <w:rPr>
          <w:rFonts w:ascii="Times New Roman" w:hAnsi="Times New Roman" w:cs="Times New Roman"/>
          <w:sz w:val="24"/>
          <w:szCs w:val="24"/>
        </w:rPr>
        <w:t>рсу за конкретним проектом ППП</w:t>
      </w:r>
      <w:r w:rsidR="00B260CA" w:rsidRPr="0037184A">
        <w:rPr>
          <w:rFonts w:ascii="Times New Roman" w:hAnsi="Times New Roman" w:cs="Times New Roman"/>
          <w:sz w:val="24"/>
          <w:szCs w:val="24"/>
        </w:rPr>
        <w:t>.</w:t>
      </w:r>
    </w:p>
    <w:p w:rsidR="0037184A" w:rsidRDefault="00B148CD"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2.7. </w:t>
      </w:r>
      <w:r w:rsidR="00082D84" w:rsidRPr="0037184A">
        <w:rPr>
          <w:rFonts w:ascii="Times New Roman" w:hAnsi="Times New Roman" w:cs="Times New Roman"/>
          <w:sz w:val="24"/>
          <w:szCs w:val="24"/>
        </w:rPr>
        <w:t>Склад конкурсної комісії</w:t>
      </w:r>
      <w:r w:rsidRPr="0037184A">
        <w:rPr>
          <w:sz w:val="24"/>
          <w:szCs w:val="24"/>
        </w:rPr>
        <w:t xml:space="preserve"> </w:t>
      </w:r>
      <w:r w:rsidRPr="0037184A">
        <w:rPr>
          <w:rFonts w:ascii="Times New Roman" w:hAnsi="Times New Roman" w:cs="Times New Roman"/>
          <w:sz w:val="24"/>
          <w:szCs w:val="24"/>
        </w:rPr>
        <w:t>за конкретним проектом ППП, у разі створення,</w:t>
      </w:r>
      <w:r w:rsidR="00082D84" w:rsidRPr="0037184A">
        <w:rPr>
          <w:rFonts w:ascii="Times New Roman" w:hAnsi="Times New Roman" w:cs="Times New Roman"/>
          <w:sz w:val="24"/>
          <w:szCs w:val="24"/>
        </w:rPr>
        <w:t xml:space="preserve"> формується із </w:t>
      </w:r>
      <w:r w:rsidR="00221ED9" w:rsidRPr="0037184A">
        <w:rPr>
          <w:rFonts w:ascii="Times New Roman" w:hAnsi="Times New Roman" w:cs="Times New Roman"/>
          <w:sz w:val="24"/>
          <w:szCs w:val="24"/>
        </w:rPr>
        <w:t xml:space="preserve">посадового </w:t>
      </w:r>
      <w:r w:rsidR="00082D84" w:rsidRPr="0037184A">
        <w:rPr>
          <w:rFonts w:ascii="Times New Roman" w:hAnsi="Times New Roman" w:cs="Times New Roman"/>
          <w:sz w:val="24"/>
          <w:szCs w:val="24"/>
        </w:rPr>
        <w:t>складу постійно діючої конкурсної комісії. До складу конкурсної комісії можуть також входити представники інших органів місцевого самоврядування, представники балансоутримувача та інші особи, які не входять до складу постійно діючої комісії.</w:t>
      </w:r>
    </w:p>
    <w:p w:rsidR="0045650A" w:rsidRPr="0037184A" w:rsidRDefault="00146F87"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2.8. У разі отримання запиту про визначення представника до складу Комісії виконавчі органи місцевого самоврядування зобов’язані надати кандидатури відповідних представників протягом 10 робочих днів</w:t>
      </w:r>
      <w:r w:rsidR="0045650A" w:rsidRPr="0037184A">
        <w:rPr>
          <w:rFonts w:ascii="Times New Roman" w:hAnsi="Times New Roman" w:cs="Times New Roman"/>
          <w:sz w:val="24"/>
          <w:szCs w:val="24"/>
        </w:rPr>
        <w:t xml:space="preserve"> після отримання такого запиту;</w:t>
      </w:r>
    </w:p>
    <w:p w:rsidR="00B148CD" w:rsidRPr="0037184A" w:rsidRDefault="0045650A" w:rsidP="0045650A">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lastRenderedPageBreak/>
        <w:t xml:space="preserve">2.9. </w:t>
      </w:r>
      <w:r w:rsidR="00146F87" w:rsidRPr="0037184A">
        <w:rPr>
          <w:rFonts w:ascii="Times New Roman" w:hAnsi="Times New Roman" w:cs="Times New Roman"/>
          <w:sz w:val="24"/>
          <w:szCs w:val="24"/>
        </w:rPr>
        <w:t xml:space="preserve">Рішення </w:t>
      </w:r>
      <w:r w:rsidRPr="0037184A">
        <w:rPr>
          <w:rFonts w:ascii="Times New Roman" w:hAnsi="Times New Roman" w:cs="Times New Roman"/>
          <w:sz w:val="24"/>
          <w:szCs w:val="24"/>
        </w:rPr>
        <w:t>К</w:t>
      </w:r>
      <w:r w:rsidR="00146F87" w:rsidRPr="0037184A">
        <w:rPr>
          <w:rFonts w:ascii="Times New Roman" w:hAnsi="Times New Roman" w:cs="Times New Roman"/>
          <w:sz w:val="24"/>
          <w:szCs w:val="24"/>
        </w:rPr>
        <w:t xml:space="preserve">омісії приймаються простою більшістю голосів членів відповідної комісії, присутніх на засіданні. Кожний член </w:t>
      </w:r>
      <w:r w:rsidRPr="0037184A">
        <w:rPr>
          <w:rFonts w:ascii="Times New Roman" w:hAnsi="Times New Roman" w:cs="Times New Roman"/>
          <w:sz w:val="24"/>
          <w:szCs w:val="24"/>
        </w:rPr>
        <w:t>К</w:t>
      </w:r>
      <w:r w:rsidR="00146F87" w:rsidRPr="0037184A">
        <w:rPr>
          <w:rFonts w:ascii="Times New Roman" w:hAnsi="Times New Roman" w:cs="Times New Roman"/>
          <w:sz w:val="24"/>
          <w:szCs w:val="24"/>
        </w:rPr>
        <w:t xml:space="preserve">омісії має один голос. Рішення </w:t>
      </w:r>
      <w:r w:rsidRPr="0037184A">
        <w:rPr>
          <w:rFonts w:ascii="Times New Roman" w:hAnsi="Times New Roman" w:cs="Times New Roman"/>
          <w:sz w:val="24"/>
          <w:szCs w:val="24"/>
        </w:rPr>
        <w:t xml:space="preserve">Комісії </w:t>
      </w:r>
      <w:r w:rsidR="00146F87" w:rsidRPr="0037184A">
        <w:rPr>
          <w:rFonts w:ascii="Times New Roman" w:hAnsi="Times New Roman" w:cs="Times New Roman"/>
          <w:sz w:val="24"/>
          <w:szCs w:val="24"/>
        </w:rPr>
        <w:t>оформлюються протоколом, який підписують головуючий на засіданні комісії і секретар конкурсної комісії.</w:t>
      </w:r>
    </w:p>
    <w:p w:rsidR="0054450C" w:rsidRPr="0037184A" w:rsidRDefault="0054450C" w:rsidP="0054450C">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2.10. Голова та секретар Комісії визначаються з числа членів посадового складу комісії, розпорядженням міського голови при затвердженні персонального складу Комісії;</w:t>
      </w:r>
    </w:p>
    <w:p w:rsidR="0054450C" w:rsidRPr="0037184A" w:rsidRDefault="0054450C" w:rsidP="0054450C">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2.11. Члени Комісії повинні мати досвід роботи у сфері ППП або публічних закупівель, або оренди, або приватизації державного чи комунального майна, або управління державним чи комунальним майном, або у сфері, в якій реалізується проект ППП, не менше одного року або володіти спеціальними знаннями та кваліфікацією у сфері, пов’язаній з реалізацією проекту ППП.</w:t>
      </w:r>
    </w:p>
    <w:p w:rsidR="0054450C" w:rsidRPr="0037184A" w:rsidRDefault="0054450C" w:rsidP="0054450C">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2.12. Члени Комісії повинні бути незалежними та неупередженими у прийнятті рішень у межах своїх повноважень і не повинні мати потенційного або реального конфлікту інтересів з претендентами чи учасниками конкурсу.</w:t>
      </w:r>
    </w:p>
    <w:p w:rsidR="0054450C" w:rsidRPr="0037184A" w:rsidRDefault="0054450C" w:rsidP="0054450C">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2.13. Члени Комісії зобов’язані повідомляти Комісію та Білгород-Дністровську міську раду про відомі їм факти, що можуть свідчити про наявність потенційного або реального конфлікту інтересів в інших членів Комісії. За наявності потенційного або реального конфлікту інтересів член Комісії зобов’язаний заявити самовідвід або йому повинні заявити відвід інші члени Комісії. Член Комісії у яких наявний потенційний або реальний конфлікт інтересів виключається зі складу Комісії.</w:t>
      </w:r>
    </w:p>
    <w:p w:rsidR="00906A15" w:rsidRPr="0037184A" w:rsidRDefault="00906A15" w:rsidP="00906A1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2.14. До роботи Комісії на підставі договору з державним партнером з правом дорадчого голосу можуть залучатися незалежні експерти. Незалежні експерти обираються на конкурсних засадах у порядку, встановленому Мінекономіки. Оплата послуг незалежного експерта здійснюється за рахунок коштів реєстраційного внеску.</w:t>
      </w:r>
    </w:p>
    <w:p w:rsidR="00906A15" w:rsidRPr="0037184A" w:rsidRDefault="00906A15" w:rsidP="00906A1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Незалежними експертами не можуть бути:</w:t>
      </w:r>
    </w:p>
    <w:p w:rsidR="00906A15" w:rsidRPr="0037184A" w:rsidRDefault="00906A15" w:rsidP="00906A1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громадяни держави, визнаної Верховною Радою України державою-агресором, або особи, які перебувають у трудових чи інших договірних відносинах з такими громадянами;</w:t>
      </w:r>
    </w:p>
    <w:p w:rsidR="0054450C" w:rsidRPr="0037184A" w:rsidRDefault="00906A15" w:rsidP="00906A1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засновники, учасники юридичних осіб, які подали заявку або залучені як радники, або особи, пов’язані з ними відносинами контролю, а також особи, які перебувають у трудових чи інших договірних відносинах з такими юридичними особами.</w:t>
      </w:r>
    </w:p>
    <w:p w:rsidR="0037184A" w:rsidRDefault="0037184A" w:rsidP="00FE50CD">
      <w:pPr>
        <w:spacing w:after="0" w:line="240" w:lineRule="auto"/>
        <w:ind w:firstLine="708"/>
        <w:jc w:val="center"/>
        <w:rPr>
          <w:rFonts w:ascii="Times New Roman" w:hAnsi="Times New Roman" w:cs="Times New Roman"/>
          <w:sz w:val="24"/>
          <w:szCs w:val="24"/>
        </w:rPr>
      </w:pPr>
    </w:p>
    <w:p w:rsidR="000C244E" w:rsidRPr="0037184A" w:rsidRDefault="000C244E" w:rsidP="00FE50CD">
      <w:pPr>
        <w:spacing w:after="0" w:line="240" w:lineRule="auto"/>
        <w:ind w:firstLine="708"/>
        <w:jc w:val="center"/>
        <w:rPr>
          <w:rFonts w:ascii="Times New Roman" w:hAnsi="Times New Roman" w:cs="Times New Roman"/>
          <w:sz w:val="24"/>
          <w:szCs w:val="24"/>
        </w:rPr>
      </w:pPr>
      <w:r w:rsidRPr="0037184A">
        <w:rPr>
          <w:rFonts w:ascii="Times New Roman" w:hAnsi="Times New Roman" w:cs="Times New Roman"/>
          <w:sz w:val="24"/>
          <w:szCs w:val="24"/>
        </w:rPr>
        <w:t>3. ЗАВДАННЯ КОМІСІЇ</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 До завдань Комісії належать:</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3.1.1. визначення строків проведення конкурсу, у тому числі строків проведення кваліфікаційного відбору та конкурсу пропозицій;</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3.1.2. оголошення конкурсу;</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3.1.3. розроблення та затвердження конкурсної документації;</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3.1.4. забезпечення осіб, зацікавлених в участі у конкурсі, претендентів і учасників конкурсу необхідною інформацією та документами для підготовки та подання заявки на участь у конкурсі, конкурсної пропозиції, надання роз’яснень щодо конкурсної документації;</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3.1.5. затвердження протоколу кваліфікаційного відбору з висновком (висновками) про допущення або недопущення претендентів до участі у конкурсі пропозицій;</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3.1.6. затвердження протоколу розгляду конкурсних пропозицій;</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3.1.7. розгляд та перевірка заявок на участь у конкурсі;</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3.1.8. розгляд та оцінювання конкурсних пропозицій;</w:t>
      </w:r>
    </w:p>
    <w:p w:rsidR="00424FDB" w:rsidRPr="0037184A"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3.1.9. повідомлення переможця конкурсу про результати конкурсу;</w:t>
      </w:r>
    </w:p>
    <w:p w:rsidR="00424FDB" w:rsidRDefault="00424FDB" w:rsidP="00424FDB">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3.1.10. інші завдання, пов’язані з організацією та проведенням конкурсу.</w:t>
      </w:r>
    </w:p>
    <w:p w:rsidR="0037184A" w:rsidRDefault="0037184A" w:rsidP="00424FDB">
      <w:pPr>
        <w:spacing w:after="0" w:line="240" w:lineRule="auto"/>
        <w:ind w:firstLine="567"/>
        <w:jc w:val="both"/>
        <w:rPr>
          <w:rFonts w:ascii="Times New Roman" w:hAnsi="Times New Roman" w:cs="Times New Roman"/>
          <w:sz w:val="24"/>
          <w:szCs w:val="24"/>
        </w:rPr>
      </w:pPr>
    </w:p>
    <w:p w:rsidR="002945F2" w:rsidRPr="0037184A" w:rsidRDefault="002945F2" w:rsidP="002945F2">
      <w:pPr>
        <w:pStyle w:val="a3"/>
        <w:numPr>
          <w:ilvl w:val="0"/>
          <w:numId w:val="4"/>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КОНКУРСНА ДОКУМЕНТАЦІЯ</w:t>
      </w:r>
    </w:p>
    <w:p w:rsidR="00AF7E7D" w:rsidRPr="0037184A" w:rsidRDefault="002945F2" w:rsidP="00AF7E7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документація розробляється комісією самостійно або із залученням радників.</w:t>
      </w:r>
    </w:p>
    <w:p w:rsidR="00AF7E7D" w:rsidRPr="0037184A" w:rsidRDefault="00F24F7E" w:rsidP="00AF7E7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lastRenderedPageBreak/>
        <w:t>Білгород-Дністровська міська рада або за її дорученням комунальне підприємство, установа, організація, господарське товариство публічного сектору для виконання завдань аналізу економічних, технічних і фінансових показників об’єкта ППП, підготовки проекту ППП,  концептуальної записки щодо здійснення ППП та/або техніко-економічне обґрунтування здійснення ППП, визначення інвестиційної привабливості об’єкта ППП та можливих шляхів її підвищення, тощо</w:t>
      </w:r>
      <w:r w:rsidR="00AF7E7D" w:rsidRPr="0037184A">
        <w:rPr>
          <w:rFonts w:ascii="Times New Roman" w:hAnsi="Times New Roman" w:cs="Times New Roman"/>
          <w:sz w:val="24"/>
          <w:szCs w:val="24"/>
        </w:rPr>
        <w:t>,</w:t>
      </w:r>
      <w:r w:rsidR="00830FEE" w:rsidRPr="0037184A">
        <w:rPr>
          <w:rFonts w:ascii="Times New Roman" w:hAnsi="Times New Roman" w:cs="Times New Roman"/>
          <w:sz w:val="24"/>
          <w:szCs w:val="24"/>
        </w:rPr>
        <w:t xml:space="preserve"> </w:t>
      </w:r>
      <w:r w:rsidR="00AF7E7D" w:rsidRPr="0037184A">
        <w:rPr>
          <w:rFonts w:ascii="Times New Roman" w:hAnsi="Times New Roman" w:cs="Times New Roman"/>
          <w:sz w:val="24"/>
          <w:szCs w:val="24"/>
        </w:rPr>
        <w:t>може залучати радника, у тому числі міжнародну фінансову організацію.</w:t>
      </w:r>
    </w:p>
    <w:p w:rsidR="00AE4CA6" w:rsidRPr="0037184A" w:rsidRDefault="00AF7E7D" w:rsidP="00AE4CA6">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Залучення радника є обов’язковим, якщо очікувана вартість проекту ППП, розрахована відповідно до Закону, перевищує еквівалент 10 мільйонів євро.</w:t>
      </w:r>
    </w:p>
    <w:p w:rsidR="002945F2" w:rsidRPr="0037184A" w:rsidRDefault="00F24F7E" w:rsidP="00AE4CA6">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Залучення радника здійснюється на конкурсних засадах у порядку, встановленому Кабінетом Міністрів України. Конкурсний відбір радника здійснюється з дотриманням принципів </w:t>
      </w:r>
      <w:proofErr w:type="spellStart"/>
      <w:r w:rsidRPr="0037184A">
        <w:rPr>
          <w:rFonts w:ascii="Times New Roman" w:hAnsi="Times New Roman" w:cs="Times New Roman"/>
          <w:sz w:val="24"/>
          <w:szCs w:val="24"/>
        </w:rPr>
        <w:t>конкурентності</w:t>
      </w:r>
      <w:proofErr w:type="spellEnd"/>
      <w:r w:rsidRPr="0037184A">
        <w:rPr>
          <w:rFonts w:ascii="Times New Roman" w:hAnsi="Times New Roman" w:cs="Times New Roman"/>
          <w:sz w:val="24"/>
          <w:szCs w:val="24"/>
        </w:rPr>
        <w:t>, рівноправності, загальної доступності, відкритості, прозорості та незалежності.</w:t>
      </w:r>
    </w:p>
    <w:p w:rsidR="00FE50CD"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документація складається з:</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1) оголошення про проведення конкурсу;</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2) інструкції для претендентів;</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3) інструкції для учасників конкурсу;</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4) проекту договору ППП;</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5) інших документів за рішенням Комісії.</w:t>
      </w:r>
    </w:p>
    <w:p w:rsidR="00FE50CD" w:rsidRPr="0037184A" w:rsidRDefault="00FE50CD" w:rsidP="00FE50CD">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4.6. Комісія має право з власної ініціативи або за результатами розгляду звернень осіб, зацікавлених в участі у конкурсі, претендентів та учасників конкурсу внести зміни до конкурсної документації протягом строку для подання заявок на участь у конкурсі та/або конкурсних пропозицій.</w:t>
      </w:r>
    </w:p>
    <w:p w:rsidR="00FE50CD"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У такому разі строк для подання заявок на участь у конкурсі та/або конкурсних пропозицій продовжується автоматично таким чином, щоб з моменту розміщення змін до конкурсної документації до закінчення строку для подання заявок на участь у конкурсі та/або конкурсних пропозицій залишалося не менше 30 календарних днів.</w:t>
      </w:r>
    </w:p>
    <w:p w:rsidR="00FE50CD"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Після затвердження змін до конкурсної документації конкурсна комісія розміщує:</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1) зміни до конкурсної документації у вигляді нової редакції конкурсної документації додатково до початкової редакції конкурсної документації;</w:t>
      </w:r>
    </w:p>
    <w:p w:rsidR="00FE50CD" w:rsidRPr="0037184A" w:rsidRDefault="00FE50CD" w:rsidP="00FE50CD">
      <w:pPr>
        <w:pStyle w:val="a3"/>
        <w:spacing w:after="0" w:line="240" w:lineRule="auto"/>
        <w:ind w:left="567"/>
        <w:jc w:val="both"/>
        <w:rPr>
          <w:rFonts w:ascii="Times New Roman" w:hAnsi="Times New Roman" w:cs="Times New Roman"/>
          <w:sz w:val="24"/>
          <w:szCs w:val="24"/>
        </w:rPr>
      </w:pPr>
      <w:r w:rsidRPr="0037184A">
        <w:rPr>
          <w:rFonts w:ascii="Times New Roman" w:hAnsi="Times New Roman" w:cs="Times New Roman"/>
          <w:sz w:val="24"/>
          <w:szCs w:val="24"/>
        </w:rPr>
        <w:t>2) перелік та узагальнений опис змін до конкурсної документації в окремому документі (в тому числі у вигляді порівняльної таблиці з відображенням внесених змін).</w:t>
      </w:r>
    </w:p>
    <w:p w:rsidR="00FE50CD" w:rsidRPr="0037184A" w:rsidRDefault="00FE50CD" w:rsidP="00300F9C">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комісія розміщує у хронологічному порядку зміни до конкурсної документації та кінцеву дату строку для подання заявок на участь у конкурсі та/або конкурсних пропозицій, визначену відповідно до кожної із змін, внесених до конкурсної документації.</w:t>
      </w:r>
    </w:p>
    <w:p w:rsidR="00FE50CD"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Претенденти та учасники конкурсу не пізніше ніж за 14 календарних днів до закінчення строку подання конкурсної пропозиції мають право звернутися до конкурсної комісії за роз’ясненням щодо конкурсної документації під час проведення конкурсу на етапі подання заявок на участь у конкурсі та/або конкурсних пропозицій. Конкурсна комісія повинна надати відповідь на такі звернення протягом восьми календарних днів з дня їх отримання. Усі звернення за роз’ясненням щодо конкурсної документації та відповіді конкурсної комісії на такі звернення без ідентифікації ініціатора звернення відображаються на веб-порталі Уповноваженого органу з питань закупівель.</w:t>
      </w:r>
    </w:p>
    <w:p w:rsidR="00FE50CD"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документація повинна містити технічні критерії, які включають в себе опис всіх характеристик, необхідних для виконання робіт та/або надання послуг, пов’язаних з предметом договору ППП.</w:t>
      </w:r>
    </w:p>
    <w:p w:rsidR="00FE50CD"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Технічні критерії можуть містити посилання на конкретні процеси виробництва, виконання робіт та/або надання послуг, за умови що вони пов’язані з предметом договору ППП та пропорційні до його очікуваної вартості та мети.</w:t>
      </w:r>
    </w:p>
    <w:p w:rsidR="00166B1E" w:rsidRPr="0037184A" w:rsidRDefault="00FE50CD" w:rsidP="00FE50C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lastRenderedPageBreak/>
        <w:t>Конкурсна комісія зобов’язана розглянути пропозиції учасника конкурсу, які не відповідають технічним критеріям, визначеним у конкурсній документації, у разі надання таким учасником підтвердження та обґрунтування, що запропонована ним пропозиція включає еквівалент технічних критеріїв, визначених конкурсною документацією.</w:t>
      </w:r>
    </w:p>
    <w:p w:rsidR="004934DE" w:rsidRPr="0037184A" w:rsidRDefault="004934DE" w:rsidP="00017137">
      <w:pPr>
        <w:pStyle w:val="a3"/>
        <w:numPr>
          <w:ilvl w:val="0"/>
          <w:numId w:val="4"/>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ОГОЛОШЕННЯ ПРО ПРОВЕДЕННЯ КОНКУРСУ</w:t>
      </w:r>
    </w:p>
    <w:p w:rsidR="004934DE" w:rsidRPr="0037184A" w:rsidRDefault="004934DE" w:rsidP="004934DE">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комісія оприлюднює оголошення про проведення конкурсу після затвердження конкурсної документації або її частини (залежно від виду конкурентної процедури).</w:t>
      </w:r>
    </w:p>
    <w:p w:rsidR="004934DE" w:rsidRPr="0037184A" w:rsidRDefault="004934DE" w:rsidP="004934DE">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Оголошення про проведення торгів з обмеженою участю повинно містити інформацію визначену Законом України «Про публічно-приватне партнерство».</w:t>
      </w:r>
    </w:p>
    <w:p w:rsidR="004934DE" w:rsidRPr="0037184A" w:rsidRDefault="004934DE" w:rsidP="004934DE">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Під час оприлюднення оголошення про проведення конкурсу конкурсна комісія може надіслати запрошення до участі у конкурсі, яке аналогічне за змістом оголошенню про проведення конкурсу, потенційним приватним партнерам, які можуть відповідати встановленим у конкурсній документації вимогам.</w:t>
      </w:r>
    </w:p>
    <w:p w:rsidR="004934DE" w:rsidRPr="0037184A" w:rsidRDefault="004934DE" w:rsidP="00166B1E">
      <w:pPr>
        <w:pStyle w:val="a3"/>
        <w:spacing w:after="0" w:line="240" w:lineRule="auto"/>
        <w:ind w:left="1068"/>
        <w:jc w:val="both"/>
        <w:rPr>
          <w:rFonts w:ascii="Times New Roman" w:hAnsi="Times New Roman" w:cs="Times New Roman"/>
          <w:sz w:val="24"/>
          <w:szCs w:val="24"/>
        </w:rPr>
      </w:pPr>
    </w:p>
    <w:p w:rsidR="00017137" w:rsidRPr="0037184A" w:rsidRDefault="00017137" w:rsidP="00017137">
      <w:pPr>
        <w:pStyle w:val="a3"/>
        <w:numPr>
          <w:ilvl w:val="0"/>
          <w:numId w:val="4"/>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 xml:space="preserve">ІНСТРУКЦІЯ ДЛЯ ПЕРЕНДЕНТІВ ТА ІНСТРУКЦІЯ </w:t>
      </w:r>
    </w:p>
    <w:p w:rsidR="00017137" w:rsidRPr="0037184A" w:rsidRDefault="00017137" w:rsidP="00017137">
      <w:pPr>
        <w:pStyle w:val="a3"/>
        <w:spacing w:after="0" w:line="240" w:lineRule="auto"/>
        <w:ind w:left="1068"/>
        <w:jc w:val="center"/>
        <w:rPr>
          <w:rFonts w:ascii="Times New Roman" w:hAnsi="Times New Roman" w:cs="Times New Roman"/>
          <w:sz w:val="24"/>
          <w:szCs w:val="24"/>
        </w:rPr>
      </w:pPr>
      <w:r w:rsidRPr="0037184A">
        <w:rPr>
          <w:rFonts w:ascii="Times New Roman" w:hAnsi="Times New Roman" w:cs="Times New Roman"/>
          <w:sz w:val="24"/>
          <w:szCs w:val="24"/>
        </w:rPr>
        <w:t>ДЛЯ УЧАСНИКІВ КОНКУРСУ</w:t>
      </w:r>
    </w:p>
    <w:p w:rsidR="009A3CBB" w:rsidRPr="0037184A" w:rsidRDefault="00017137" w:rsidP="009A3CB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Інструкція для претендентів є частиною конкурсної документації у всіх конкурентних процедурах з визначення приватного партнера. Інструкція для претендентів повинна містити відомості визначені в Закону України «Про публічно-приватне партнерство».</w:t>
      </w:r>
    </w:p>
    <w:p w:rsidR="009A3CBB" w:rsidRPr="0037184A" w:rsidRDefault="00017137" w:rsidP="009A3CB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Інструкція для учасників конкурсу є частиною конкурсної документації у всіх конкурентних процедурах з визначення приватного партнера. Інструкція для учасників конкурсу повинна містити відомості:</w:t>
      </w:r>
      <w:r w:rsidR="009A3CBB" w:rsidRPr="0037184A">
        <w:rPr>
          <w:sz w:val="24"/>
          <w:szCs w:val="24"/>
        </w:rPr>
        <w:t xml:space="preserve"> </w:t>
      </w:r>
      <w:r w:rsidR="009A3CBB" w:rsidRPr="0037184A">
        <w:rPr>
          <w:rFonts w:ascii="Times New Roman" w:hAnsi="Times New Roman" w:cs="Times New Roman"/>
          <w:sz w:val="24"/>
          <w:szCs w:val="24"/>
        </w:rPr>
        <w:t>визначені в Закону України «Про публічно-приватне партнерство».</w:t>
      </w:r>
    </w:p>
    <w:p w:rsidR="00017137" w:rsidRPr="0037184A" w:rsidRDefault="00CD4795" w:rsidP="009A3CB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У випадку здійснення ППП у формі концесії Інструкції повинні містити відомості передбачені Законом України «Про концесію».</w:t>
      </w:r>
    </w:p>
    <w:p w:rsidR="00CD4795" w:rsidRPr="0037184A" w:rsidRDefault="00CD4795" w:rsidP="00CD4795">
      <w:pPr>
        <w:pStyle w:val="a3"/>
        <w:spacing w:after="0" w:line="240" w:lineRule="auto"/>
        <w:ind w:left="567"/>
        <w:jc w:val="both"/>
        <w:rPr>
          <w:rFonts w:ascii="Times New Roman" w:hAnsi="Times New Roman" w:cs="Times New Roman"/>
          <w:sz w:val="24"/>
          <w:szCs w:val="24"/>
        </w:rPr>
      </w:pPr>
    </w:p>
    <w:p w:rsidR="008E24C9" w:rsidRPr="0037184A" w:rsidRDefault="006C4E58" w:rsidP="00F13C6F">
      <w:pPr>
        <w:pStyle w:val="a3"/>
        <w:numPr>
          <w:ilvl w:val="0"/>
          <w:numId w:val="4"/>
        </w:numPr>
        <w:spacing w:after="0" w:line="240" w:lineRule="auto"/>
        <w:ind w:left="567"/>
        <w:jc w:val="center"/>
        <w:rPr>
          <w:rFonts w:ascii="Times New Roman" w:hAnsi="Times New Roman" w:cs="Times New Roman"/>
          <w:sz w:val="24"/>
          <w:szCs w:val="24"/>
        </w:rPr>
      </w:pPr>
      <w:r w:rsidRPr="0037184A">
        <w:rPr>
          <w:rFonts w:ascii="Times New Roman" w:hAnsi="Times New Roman" w:cs="Times New Roman"/>
          <w:sz w:val="24"/>
          <w:szCs w:val="24"/>
        </w:rPr>
        <w:t xml:space="preserve">КРИТЕРІЇ КВАЛІФІКАЦІЙНОГО ВІДБОРУ ТА ПІДСТАВИ </w:t>
      </w:r>
    </w:p>
    <w:p w:rsidR="00CD6059" w:rsidRPr="0037184A" w:rsidRDefault="006C4E58" w:rsidP="0011304F">
      <w:pPr>
        <w:pStyle w:val="a3"/>
        <w:spacing w:after="0" w:line="240" w:lineRule="auto"/>
        <w:ind w:left="0"/>
        <w:jc w:val="center"/>
        <w:rPr>
          <w:rFonts w:ascii="Times New Roman" w:hAnsi="Times New Roman" w:cs="Times New Roman"/>
          <w:sz w:val="24"/>
          <w:szCs w:val="24"/>
        </w:rPr>
      </w:pPr>
      <w:r w:rsidRPr="0037184A">
        <w:rPr>
          <w:rFonts w:ascii="Times New Roman" w:hAnsi="Times New Roman" w:cs="Times New Roman"/>
          <w:sz w:val="24"/>
          <w:szCs w:val="24"/>
        </w:rPr>
        <w:t>ДЛЯ ВІДМОВИ</w:t>
      </w:r>
      <w:r w:rsidR="008E24C9" w:rsidRPr="0037184A">
        <w:rPr>
          <w:rFonts w:ascii="Times New Roman" w:hAnsi="Times New Roman" w:cs="Times New Roman"/>
          <w:sz w:val="24"/>
          <w:szCs w:val="24"/>
        </w:rPr>
        <w:t xml:space="preserve"> </w:t>
      </w:r>
      <w:r w:rsidRPr="0037184A">
        <w:rPr>
          <w:rFonts w:ascii="Times New Roman" w:hAnsi="Times New Roman" w:cs="Times New Roman"/>
          <w:sz w:val="24"/>
          <w:szCs w:val="24"/>
        </w:rPr>
        <w:t xml:space="preserve"> В УЧАСТІ У КОНКУРСІ</w:t>
      </w:r>
    </w:p>
    <w:p w:rsidR="0011304F" w:rsidRPr="0037184A" w:rsidRDefault="00CD6059" w:rsidP="0011304F">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коміс</w:t>
      </w:r>
      <w:r w:rsidR="0011304F" w:rsidRPr="0037184A">
        <w:rPr>
          <w:rFonts w:ascii="Times New Roman" w:hAnsi="Times New Roman" w:cs="Times New Roman"/>
          <w:sz w:val="24"/>
          <w:szCs w:val="24"/>
        </w:rPr>
        <w:t xml:space="preserve">ія встановлює один або кілька </w:t>
      </w:r>
      <w:r w:rsidRPr="0037184A">
        <w:rPr>
          <w:rFonts w:ascii="Times New Roman" w:hAnsi="Times New Roman" w:cs="Times New Roman"/>
          <w:sz w:val="24"/>
          <w:szCs w:val="24"/>
        </w:rPr>
        <w:t>критеріїв кваліфікаційного відбору, які повинні відповідати принципам прозорості, об’єктивності та недискримінації</w:t>
      </w:r>
      <w:r w:rsidR="0011304F" w:rsidRPr="0037184A">
        <w:rPr>
          <w:rFonts w:ascii="Times New Roman" w:hAnsi="Times New Roman" w:cs="Times New Roman"/>
          <w:sz w:val="24"/>
          <w:szCs w:val="24"/>
        </w:rPr>
        <w:t>, визначені Законом України «Про публічно-приватне партнерство»;</w:t>
      </w:r>
    </w:p>
    <w:p w:rsidR="00A24580" w:rsidRPr="0037184A" w:rsidRDefault="00A24580" w:rsidP="00A24580">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Не допускаються до участі в конкурсі пропозицій претенденти, а у процедурі відкритих торгів з подальшим кваліфікаційним відбором не можуть бути визнані переможцем конкурсу учасники конкурсу, які не відповідають вимогам визначеним Законом України «Про публічно-приватне партнерство»;</w:t>
      </w:r>
    </w:p>
    <w:p w:rsidR="00A24580" w:rsidRPr="0037184A" w:rsidRDefault="00A24580" w:rsidP="00A24580">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Комісія може прийняти рішення про недопущення до участі в конкурсі пропозицій претендентів, а у процедурі відкритих торгів з наступним кваліфікаційним відбором - про невизнання переможцем конкурсу, якщо конкурсна комісія має докази, що такий претендент або учасник конкурсу не виконав свої зобов’язання за раніше укладеними договорами у рамках здійснення ППП, що призвело до дострокового розірвання договору та застосування санкцій у вигляді штрафів та/або відшкодування збитків, - протягом трьох років з дати дострокового розірвання такого договору, укладеного в рамках здійснення ППП.</w:t>
      </w:r>
    </w:p>
    <w:p w:rsidR="00A24580" w:rsidRPr="0037184A" w:rsidRDefault="00A24580" w:rsidP="00A24580">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Під час проведення конкурсу особа, зацікавлена в участі у конкурсі, для підтвердження відповідності критеріям кваліфікаційного відбору та підтвердження відсутності підстав для відмови в участі у конкурсі подає заявку на участь у конкурсі разом з підтвердними документами, перелік та вимоги до яких визначаються інструкцією для претендентів.</w:t>
      </w:r>
    </w:p>
    <w:p w:rsidR="00A24580" w:rsidRPr="0037184A" w:rsidRDefault="00A24580" w:rsidP="00A24580">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Претендент має право підтвердити відповідність критеріям кваліфікаційного відбору, покладаючись на осіб, пов’язаних із претендентом відносинами контролю (у тому </w:t>
      </w:r>
      <w:r w:rsidRPr="0037184A">
        <w:rPr>
          <w:rFonts w:ascii="Times New Roman" w:hAnsi="Times New Roman" w:cs="Times New Roman"/>
          <w:sz w:val="24"/>
          <w:szCs w:val="24"/>
        </w:rPr>
        <w:lastRenderedPageBreak/>
        <w:t>числі на осіб, пов’язаних відносинами контролю з учасником тимчасового об’єднання юридичних осіб, якщо претендент є таким тимчасовим об’єднанням), та/або інших осіб, які надали йому зобов’язання надати всі необхідні ресурси для виконання договору ППП, якщо це передбачено умовами інструкції для претендентів. У такому разі претендент відповідно до вимог, передбачених інструкцією для претендентів, повинен подати у складі заявки на участь у конкурсі відповідну інформацію.</w:t>
      </w:r>
    </w:p>
    <w:p w:rsidR="000E3BC7" w:rsidRPr="0037184A" w:rsidRDefault="000E3BC7" w:rsidP="000E3BC7">
      <w:pPr>
        <w:pStyle w:val="a3"/>
        <w:numPr>
          <w:ilvl w:val="0"/>
          <w:numId w:val="4"/>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ЗАСАДИ ПРОВЕДЕННЯ КОНКУРСУ ПРОПОЗИЦІЙ</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Конкурсна пропозиція складається з двох частин - технічної та фінансово-комерційної. Порядок подання конкурсних пропозицій та вимоги до інформації і документів, що мають міститися в технічній та фінансово-комерційній частинах конкурсної пропозиції, визначаються інструкцією для учасників конкурсу.</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Якщо критерієм оцінювання конкурсних пропозицій є надійність запропонованого механізму фінансування та/або інші якісні фінансово-комерційні критерії, конкурсна документація повинна містити вимогу про подання фінансово-комерційної частини конкурсних пропозицій у вигляді двох пакетів документів, на підставі яких здійснюватиметься окремо оцінювання за якісними фінансово-комерційними критеріями та кількісними фінансово-комерційними критеріями.</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 У будь-який час до закінчення строку подання конкурсних пропозицій дозволяється зміна або відкликання конкурсної пропозиції відповідно до порядку та вимог, встановлених інструкцією для учасників конкурсу.</w:t>
      </w:r>
      <w:r w:rsidR="004B690B" w:rsidRPr="0037184A">
        <w:rPr>
          <w:rFonts w:ascii="Times New Roman" w:hAnsi="Times New Roman" w:cs="Times New Roman"/>
          <w:sz w:val="24"/>
          <w:szCs w:val="24"/>
        </w:rPr>
        <w:t xml:space="preserve"> </w:t>
      </w:r>
      <w:r w:rsidRPr="0037184A">
        <w:rPr>
          <w:rFonts w:ascii="Times New Roman" w:hAnsi="Times New Roman" w:cs="Times New Roman"/>
          <w:sz w:val="24"/>
          <w:szCs w:val="24"/>
        </w:rPr>
        <w:t>Внесення будь-яких змін до фінансово-комерційної частини конкурсних пропозицій після закінчення строку подання конкурсних пропозицій забороняється.</w:t>
      </w:r>
    </w:p>
    <w:p w:rsidR="004B690B" w:rsidRPr="0037184A" w:rsidRDefault="004B690B"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w:t>
      </w:r>
      <w:r w:rsidR="000E3BC7" w:rsidRPr="0037184A">
        <w:rPr>
          <w:rFonts w:ascii="Times New Roman" w:hAnsi="Times New Roman" w:cs="Times New Roman"/>
          <w:sz w:val="24"/>
          <w:szCs w:val="24"/>
        </w:rPr>
        <w:t>омісія може запитувати додаткову інформацію та документи щодо технічної частини конкурсної пропозиції, а учасник конкурсу повинен надавати додаткову інформацію та документи і може вносити зміни та доповнення до технічної частини своєї конкурсної пропозиції у відповідь на такі запити відповідно до порядку та вимог, встановлених інструкцією для учасників конкурсу, але в будь-якому разі - до початку оцінювання фінансово-комерційної частини конкурсної пропозиції.</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Запити </w:t>
      </w:r>
      <w:r w:rsidR="004B690B" w:rsidRPr="0037184A">
        <w:rPr>
          <w:rFonts w:ascii="Times New Roman" w:hAnsi="Times New Roman" w:cs="Times New Roman"/>
          <w:sz w:val="24"/>
          <w:szCs w:val="24"/>
        </w:rPr>
        <w:t>К</w:t>
      </w:r>
      <w:r w:rsidRPr="0037184A">
        <w:rPr>
          <w:rFonts w:ascii="Times New Roman" w:hAnsi="Times New Roman" w:cs="Times New Roman"/>
          <w:sz w:val="24"/>
          <w:szCs w:val="24"/>
        </w:rPr>
        <w:t>омісії про надання додаткової інформації та документів щодо технічної частини конкурсної пропозиції повинні бути об’єктивними та недискримінаційними, у тому числі не повинні передбачати або мати наслідком надання будь-яких переваг окремим учасникам конкурсу або впливати на результати оцінювання конкурсних пропозицій.</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Під час проведення конкурсу пропозицій конкурсна комісія має право звертатися із запитом про підтвердження або уточнення інформації щодо конкурсної пропозиції до органів державної влади, органів місцевого самоврядування, юридичних та фізичних осіб відповідно до їхньої компетенції, які зобов’язані надати відповідь на такий запит протягом 15 календарних днів з дати отримання запиту.</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У разі підтвердження факту надання у конкурсній пропозиції недостовірних відомостей, що є істотними для визначення результатів конкурсу, конкурсна комісія відхиляє таку конкурсну пропозицію відповідно до порядку та умов, визначених інструкцією для учасників конкурсу.</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Не може вважатися наданням недостовірних відомостей, що є істотними для визначення результатів конкурсу, допущення помилок в оформленні конкурсної пропозиції або документів у її складі, які не впливають на зміст такої конкурсної пропозиції, зокрема технічних помилок та описок.</w:t>
      </w:r>
    </w:p>
    <w:p w:rsidR="004B690B" w:rsidRPr="0037184A" w:rsidRDefault="000E3BC7"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Якщо конкурсну пропозицію подав лише один учасник конкурсу, договір ППП за результатами такого конкурсу може бути укладений, за умови що єдиний учасник конкурсу відповідає всім критеріям кваліфікаційного відбору та підтвердив відсутність підстав для відмови в участі у конкурсі відповідно до умов конкурсної документації.</w:t>
      </w:r>
    </w:p>
    <w:p w:rsidR="00A24580" w:rsidRPr="0037184A" w:rsidRDefault="004B690B" w:rsidP="004B690B">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w:t>
      </w:r>
      <w:r w:rsidR="000E3BC7" w:rsidRPr="0037184A">
        <w:rPr>
          <w:rFonts w:ascii="Times New Roman" w:hAnsi="Times New Roman" w:cs="Times New Roman"/>
          <w:sz w:val="24"/>
          <w:szCs w:val="24"/>
        </w:rPr>
        <w:t xml:space="preserve">омісія повинна вживати належних заходів для ефективного запобігання, виявлення та усунення будь-яких конфліктів інтересів, що виникають або можуть </w:t>
      </w:r>
      <w:r w:rsidR="000E3BC7" w:rsidRPr="0037184A">
        <w:rPr>
          <w:rFonts w:ascii="Times New Roman" w:hAnsi="Times New Roman" w:cs="Times New Roman"/>
          <w:sz w:val="24"/>
          <w:szCs w:val="24"/>
        </w:rPr>
        <w:lastRenderedPageBreak/>
        <w:t>виникнути під час проведення конкурсу, з метою уникнення будь-якого спотворення конкуренції та забезпечення рівного ставлення до всіх потенційних приватних партнерів.</w:t>
      </w:r>
    </w:p>
    <w:p w:rsidR="004B690B" w:rsidRPr="0037184A" w:rsidRDefault="004B690B" w:rsidP="0011304F">
      <w:pPr>
        <w:pStyle w:val="a3"/>
        <w:spacing w:after="0" w:line="240" w:lineRule="auto"/>
        <w:ind w:left="0" w:firstLine="567"/>
        <w:jc w:val="both"/>
        <w:rPr>
          <w:rFonts w:ascii="Times New Roman" w:hAnsi="Times New Roman" w:cs="Times New Roman"/>
          <w:sz w:val="24"/>
          <w:szCs w:val="24"/>
        </w:rPr>
      </w:pPr>
    </w:p>
    <w:p w:rsidR="0008073B" w:rsidRPr="0037184A" w:rsidRDefault="00E6749D" w:rsidP="00E6749D">
      <w:pPr>
        <w:pStyle w:val="a3"/>
        <w:numPr>
          <w:ilvl w:val="0"/>
          <w:numId w:val="4"/>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ЗАСАДИ ОЦІНЮВАННЯ КОНКУРСНИХ ПРОПОЗИЦІЙ</w:t>
      </w:r>
    </w:p>
    <w:p w:rsidR="0008073B" w:rsidRPr="0037184A" w:rsidRDefault="0008073B" w:rsidP="00E6749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Оцінювання конкурсних пропозицій проводиться у два етапи відповідно до критеріїв та методики оцінювання конкурсних пропозицій, питомої ваги кожного з критеріїв та інших вимог, визначених інструкцією для учасників конкурсу.</w:t>
      </w:r>
    </w:p>
    <w:p w:rsidR="0008073B" w:rsidRPr="0037184A" w:rsidRDefault="0008073B" w:rsidP="00AA2CED">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На першому етапі здійснюється оцінювання технічної частини конкурсних пропозицій всіх учасників конкурсу.</w:t>
      </w:r>
    </w:p>
    <w:p w:rsidR="0008073B" w:rsidRPr="0037184A" w:rsidRDefault="0008073B" w:rsidP="00AA2CED">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На другому етапі здійснюється оцінювання фінансово-комерційної частини конкурсних пропозицій, які успішно пройшли оцінювання технічної частини конкурсних пропозицій.</w:t>
      </w:r>
    </w:p>
    <w:p w:rsidR="00AA2CED" w:rsidRPr="0037184A" w:rsidRDefault="0008073B" w:rsidP="00AA2CE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Строк проведення оцінювання конкурсних пропозицій (у тому числі визначення переможця конкурсу) встановлюється інструкцією для учасників конкурсу, але не може перевищувати 45 календарних днів з дати завершення строку для подання конкурсних пропозицій.</w:t>
      </w:r>
    </w:p>
    <w:p w:rsidR="00AA2CED" w:rsidRPr="0037184A" w:rsidRDefault="0008073B" w:rsidP="00AA2CE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Критерії оцінювання конкурсних пропозицій визначаються конкурсною комісією і поділяються на технічні та фінансово-комерційні</w:t>
      </w:r>
      <w:r w:rsidR="00AA2CED" w:rsidRPr="0037184A">
        <w:rPr>
          <w:rFonts w:ascii="Times New Roman" w:hAnsi="Times New Roman" w:cs="Times New Roman"/>
          <w:sz w:val="24"/>
          <w:szCs w:val="24"/>
        </w:rPr>
        <w:t>, відповідно до критеріїв передбачених Законом України «Про публічно-приватне партнерство»</w:t>
      </w:r>
      <w:r w:rsidRPr="0037184A">
        <w:rPr>
          <w:rFonts w:ascii="Times New Roman" w:hAnsi="Times New Roman" w:cs="Times New Roman"/>
          <w:sz w:val="24"/>
          <w:szCs w:val="24"/>
        </w:rPr>
        <w:t>.</w:t>
      </w:r>
    </w:p>
    <w:p w:rsidR="00AA2CED" w:rsidRPr="0037184A" w:rsidRDefault="0008073B" w:rsidP="00AA2CED">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У разі отримання конкурсної пропозиції, яка містить інноваційне рішення з винятковим рівнем функціональних характеристик, що не могло бути передбачено конкурсною комісією, конкурсна комісія як виняток може внести зміни до конкурсної документації в частині питомої ваги критеріїв оцінювання з метою врахування цього інноваційного рішення.</w:t>
      </w:r>
    </w:p>
    <w:p w:rsidR="005D7A48" w:rsidRPr="0037184A" w:rsidRDefault="0008073B" w:rsidP="005D7A48">
      <w:pPr>
        <w:spacing w:after="0" w:line="240" w:lineRule="auto"/>
        <w:ind w:firstLine="567"/>
        <w:jc w:val="both"/>
        <w:rPr>
          <w:rFonts w:ascii="Times New Roman" w:hAnsi="Times New Roman" w:cs="Times New Roman"/>
          <w:sz w:val="24"/>
          <w:szCs w:val="24"/>
        </w:rPr>
      </w:pPr>
      <w:r w:rsidRPr="0037184A">
        <w:rPr>
          <w:rFonts w:ascii="Times New Roman" w:hAnsi="Times New Roman" w:cs="Times New Roman"/>
          <w:sz w:val="24"/>
          <w:szCs w:val="24"/>
        </w:rPr>
        <w:t>У такому разі конкурсна комісія інформує всіх учасників конкурсу про зміну питомої ваги критеріїв оцінювання конкурсної пропозиції, надсилає їм нове запрошення до участі в конкурсі, встановивши строк не менше 30 календарних днів для подання конкурсних пропозицій, та оприлюднює нову інструкцію для учасників конкурсу.</w:t>
      </w:r>
    </w:p>
    <w:p w:rsidR="0008073B" w:rsidRPr="0037184A" w:rsidRDefault="005D7A48" w:rsidP="005D7A48">
      <w:pPr>
        <w:pStyle w:val="a3"/>
        <w:numPr>
          <w:ilvl w:val="1"/>
          <w:numId w:val="4"/>
        </w:numPr>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Р</w:t>
      </w:r>
      <w:r w:rsidR="0008073B" w:rsidRPr="0037184A">
        <w:rPr>
          <w:rFonts w:ascii="Times New Roman" w:hAnsi="Times New Roman" w:cs="Times New Roman"/>
          <w:sz w:val="24"/>
          <w:szCs w:val="24"/>
        </w:rPr>
        <w:t>езультати оцінювання конкурсних пропозицій не підлягають розголошенню до дня визначення переможця конкурсу, крім випадків, передбачених законом.</w:t>
      </w:r>
    </w:p>
    <w:p w:rsidR="0008073B" w:rsidRPr="0037184A" w:rsidRDefault="0008073B" w:rsidP="0008073B">
      <w:pPr>
        <w:pStyle w:val="a3"/>
        <w:spacing w:after="0" w:line="240" w:lineRule="auto"/>
        <w:ind w:firstLine="567"/>
        <w:jc w:val="both"/>
        <w:rPr>
          <w:rFonts w:ascii="Times New Roman" w:hAnsi="Times New Roman" w:cs="Times New Roman"/>
          <w:sz w:val="24"/>
          <w:szCs w:val="24"/>
        </w:rPr>
      </w:pPr>
    </w:p>
    <w:p w:rsidR="00983A8C" w:rsidRDefault="002E3059" w:rsidP="00983A8C">
      <w:pPr>
        <w:pStyle w:val="a3"/>
        <w:numPr>
          <w:ilvl w:val="0"/>
          <w:numId w:val="4"/>
        </w:num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ОЦІНЮВАННЯ ТЕХНІЧНОЇ ЧАСТИНИ</w:t>
      </w:r>
    </w:p>
    <w:p w:rsidR="0008073B" w:rsidRPr="0037184A" w:rsidRDefault="002E3059" w:rsidP="00983A8C">
      <w:pPr>
        <w:pStyle w:val="a3"/>
        <w:spacing w:after="0" w:line="240" w:lineRule="auto"/>
        <w:ind w:left="1068"/>
        <w:jc w:val="center"/>
        <w:rPr>
          <w:rFonts w:ascii="Times New Roman" w:hAnsi="Times New Roman" w:cs="Times New Roman"/>
          <w:sz w:val="24"/>
          <w:szCs w:val="24"/>
        </w:rPr>
      </w:pPr>
      <w:r w:rsidRPr="0037184A">
        <w:rPr>
          <w:rFonts w:ascii="Times New Roman" w:hAnsi="Times New Roman" w:cs="Times New Roman"/>
          <w:sz w:val="24"/>
          <w:szCs w:val="24"/>
        </w:rPr>
        <w:t>КОНКУРСНИХ ПРОПОЗИЦІЙ</w:t>
      </w:r>
    </w:p>
    <w:p w:rsidR="0008073B" w:rsidRPr="0037184A" w:rsidRDefault="0008073B" w:rsidP="009B721A">
      <w:pPr>
        <w:pStyle w:val="a3"/>
        <w:numPr>
          <w:ilvl w:val="1"/>
          <w:numId w:val="4"/>
        </w:numPr>
        <w:spacing w:after="0" w:line="240" w:lineRule="auto"/>
        <w:ind w:left="0" w:firstLine="709"/>
        <w:jc w:val="both"/>
        <w:rPr>
          <w:rFonts w:ascii="Times New Roman" w:hAnsi="Times New Roman" w:cs="Times New Roman"/>
          <w:sz w:val="24"/>
          <w:szCs w:val="24"/>
        </w:rPr>
      </w:pPr>
      <w:r w:rsidRPr="0037184A">
        <w:rPr>
          <w:rFonts w:ascii="Times New Roman" w:hAnsi="Times New Roman" w:cs="Times New Roman"/>
          <w:sz w:val="24"/>
          <w:szCs w:val="24"/>
        </w:rPr>
        <w:t>Конкурсна комісія оцінює технічну частину конкурсних пропозицій із застосуванням одного або кількох критеріїв, визначених в інструкції для учасників конкурсу.</w:t>
      </w:r>
    </w:p>
    <w:p w:rsidR="003C317D" w:rsidRPr="0037184A" w:rsidRDefault="0008073B" w:rsidP="003C317D">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Питома вага оцінки технічної частини конкурсної пропозиції встановлюється інструкцією для учасників конкурсу.</w:t>
      </w:r>
    </w:p>
    <w:p w:rsidR="0008073B" w:rsidRPr="0037184A" w:rsidRDefault="00A16D16" w:rsidP="003C317D">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10.2. </w:t>
      </w:r>
      <w:r w:rsidR="0008073B" w:rsidRPr="0037184A">
        <w:rPr>
          <w:rFonts w:ascii="Times New Roman" w:hAnsi="Times New Roman" w:cs="Times New Roman"/>
          <w:sz w:val="24"/>
          <w:szCs w:val="24"/>
        </w:rPr>
        <w:t>Технічна частина конкурсної пропозиції оцінюється за одним із таких підходів, який визначається в інструкції для учасників конкурсу:</w:t>
      </w:r>
    </w:p>
    <w:p w:rsidR="0008073B" w:rsidRPr="0037184A" w:rsidRDefault="0008073B" w:rsidP="003C317D">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1) прохідний принцип оцінювання (критерій "виконується/не виконується"), результати якого не впливають на загальний бал оцінки конкурсної пропозиції;</w:t>
      </w:r>
    </w:p>
    <w:p w:rsidR="0008073B" w:rsidRPr="0037184A" w:rsidRDefault="0008073B" w:rsidP="003C317D">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2) порівняльне оцінювання на основі кількісних критеріїв, що визначаються конкурсною комісією в інструкції для учасників конкурсу, показники (ставки) яких надані учасником конкурсу в конкурсній пропозиції;</w:t>
      </w:r>
    </w:p>
    <w:p w:rsidR="0008073B" w:rsidRPr="0037184A" w:rsidRDefault="0008073B" w:rsidP="003C317D">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3) порівняльне оцінювання, що проводиться членами конкурсної комісії шляхом оцінювання кожного критерію для кожного учасника конкурсу.</w:t>
      </w:r>
    </w:p>
    <w:p w:rsidR="0008073B" w:rsidRPr="0037184A" w:rsidRDefault="0008073B" w:rsidP="003C317D">
      <w:pPr>
        <w:pStyle w:val="a3"/>
        <w:spacing w:after="0" w:line="240" w:lineRule="auto"/>
        <w:ind w:left="0" w:firstLine="567"/>
        <w:jc w:val="both"/>
        <w:rPr>
          <w:rFonts w:ascii="Times New Roman" w:hAnsi="Times New Roman" w:cs="Times New Roman"/>
          <w:sz w:val="24"/>
          <w:szCs w:val="24"/>
        </w:rPr>
      </w:pPr>
    </w:p>
    <w:p w:rsidR="0008073B" w:rsidRPr="0037184A" w:rsidRDefault="00C61302" w:rsidP="00C61302">
      <w:pPr>
        <w:pStyle w:val="a3"/>
        <w:spacing w:after="0" w:line="240" w:lineRule="auto"/>
        <w:ind w:firstLine="567"/>
        <w:jc w:val="center"/>
        <w:rPr>
          <w:rFonts w:ascii="Times New Roman" w:hAnsi="Times New Roman" w:cs="Times New Roman"/>
          <w:sz w:val="24"/>
          <w:szCs w:val="24"/>
        </w:rPr>
      </w:pPr>
      <w:r w:rsidRPr="0037184A">
        <w:rPr>
          <w:rFonts w:ascii="Times New Roman" w:hAnsi="Times New Roman" w:cs="Times New Roman"/>
          <w:sz w:val="24"/>
          <w:szCs w:val="24"/>
        </w:rPr>
        <w:t>11. ОЦІНЮВАННЯ ФІНАНСОВО-КОМЕРЦІЙНОЇ ЧАСТИНИ КОНКУРСНИХ ПРОПОЗИЦІЙ</w:t>
      </w:r>
    </w:p>
    <w:p w:rsidR="0008073B" w:rsidRPr="0037184A" w:rsidRDefault="00C61302" w:rsidP="00C61302">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11.</w:t>
      </w:r>
      <w:r w:rsidR="0008073B" w:rsidRPr="0037184A">
        <w:rPr>
          <w:rFonts w:ascii="Times New Roman" w:hAnsi="Times New Roman" w:cs="Times New Roman"/>
          <w:sz w:val="24"/>
          <w:szCs w:val="24"/>
        </w:rPr>
        <w:t>1. Комісія оцінює фінансово-комерційну частину конкурсної пропозиції із застосуванням одного або кількох критеріїв, визначених в інструкції для учасників конкурсу відповідно до  Закону</w:t>
      </w:r>
      <w:r w:rsidRPr="0037184A">
        <w:rPr>
          <w:rFonts w:ascii="Times New Roman" w:hAnsi="Times New Roman" w:cs="Times New Roman"/>
          <w:sz w:val="24"/>
          <w:szCs w:val="24"/>
        </w:rPr>
        <w:t xml:space="preserve"> України «Про публічно-приватне партнерство»</w:t>
      </w:r>
      <w:r w:rsidR="0008073B" w:rsidRPr="0037184A">
        <w:rPr>
          <w:rFonts w:ascii="Times New Roman" w:hAnsi="Times New Roman" w:cs="Times New Roman"/>
          <w:sz w:val="24"/>
          <w:szCs w:val="24"/>
        </w:rPr>
        <w:t>.</w:t>
      </w:r>
    </w:p>
    <w:p w:rsidR="002249AB" w:rsidRPr="0037184A" w:rsidRDefault="009D3799" w:rsidP="002249AB">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lastRenderedPageBreak/>
        <w:t xml:space="preserve">11.2. </w:t>
      </w:r>
      <w:r w:rsidR="002249AB" w:rsidRPr="0037184A">
        <w:rPr>
          <w:rFonts w:ascii="Times New Roman" w:hAnsi="Times New Roman" w:cs="Times New Roman"/>
          <w:sz w:val="24"/>
          <w:szCs w:val="24"/>
        </w:rPr>
        <w:t>К</w:t>
      </w:r>
      <w:r w:rsidR="0008073B" w:rsidRPr="0037184A">
        <w:rPr>
          <w:rFonts w:ascii="Times New Roman" w:hAnsi="Times New Roman" w:cs="Times New Roman"/>
          <w:sz w:val="24"/>
          <w:szCs w:val="24"/>
        </w:rPr>
        <w:t>омісія оцінює фінансово-комерційну частину конкурсних пропозицій після оцінювання технічної частини всіх конкурсних пропозицій, поданих учасниками конкурсу</w:t>
      </w:r>
      <w:r w:rsidR="002249AB" w:rsidRPr="0037184A">
        <w:rPr>
          <w:rFonts w:ascii="Times New Roman" w:hAnsi="Times New Roman" w:cs="Times New Roman"/>
          <w:sz w:val="24"/>
          <w:szCs w:val="24"/>
        </w:rPr>
        <w:t>.</w:t>
      </w:r>
    </w:p>
    <w:p w:rsidR="002249AB" w:rsidRPr="0037184A" w:rsidRDefault="002249AB" w:rsidP="002249AB">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11.3. </w:t>
      </w:r>
      <w:r w:rsidR="0008073B" w:rsidRPr="0037184A">
        <w:rPr>
          <w:rFonts w:ascii="Times New Roman" w:hAnsi="Times New Roman" w:cs="Times New Roman"/>
          <w:sz w:val="24"/>
          <w:szCs w:val="24"/>
        </w:rPr>
        <w:t>У разі визначення в конкурсній документації якісних фінансово-комерційних критеріїв оцінювання конкурсних пропозицій спочатку розкриваються документи, подані учасниками конкурсу у складі фінансово-комерційної частини конкурсної пропозиції для оцінювання за якісними фінансово-комерційними критеріями, таким чином, щоб конкурсна комісія під час оцінювання за якісними фінансово-комерційними критеріями не мала доступу до документів, на підставі яких здійснюється оцінювання за кількісними фінансово-комерційними критеріями.</w:t>
      </w:r>
    </w:p>
    <w:p w:rsidR="0008073B" w:rsidRPr="0037184A" w:rsidRDefault="002249AB" w:rsidP="002249AB">
      <w:pPr>
        <w:pStyle w:val="a3"/>
        <w:spacing w:after="0" w:line="240" w:lineRule="auto"/>
        <w:ind w:left="0" w:firstLine="567"/>
        <w:jc w:val="both"/>
        <w:rPr>
          <w:rFonts w:ascii="Times New Roman" w:hAnsi="Times New Roman" w:cs="Times New Roman"/>
          <w:sz w:val="24"/>
          <w:szCs w:val="24"/>
        </w:rPr>
      </w:pPr>
      <w:r w:rsidRPr="0037184A">
        <w:rPr>
          <w:rFonts w:ascii="Times New Roman" w:hAnsi="Times New Roman" w:cs="Times New Roman"/>
          <w:sz w:val="24"/>
          <w:szCs w:val="24"/>
        </w:rPr>
        <w:t xml:space="preserve">11.4. </w:t>
      </w:r>
      <w:r w:rsidR="0008073B" w:rsidRPr="0037184A">
        <w:rPr>
          <w:rFonts w:ascii="Times New Roman" w:hAnsi="Times New Roman" w:cs="Times New Roman"/>
          <w:sz w:val="24"/>
          <w:szCs w:val="24"/>
        </w:rPr>
        <w:t xml:space="preserve">Документи, на підставі яких проводиться оцінювання за кількісними фінансово-комерційними критеріями, оприлюднюються на веб-порталі </w:t>
      </w:r>
      <w:r w:rsidR="00C73847" w:rsidRPr="0037184A">
        <w:rPr>
          <w:rFonts w:ascii="Times New Roman" w:hAnsi="Times New Roman" w:cs="Times New Roman"/>
          <w:sz w:val="24"/>
          <w:szCs w:val="24"/>
        </w:rPr>
        <w:t xml:space="preserve">Уповноваженого органу з питань закупівель </w:t>
      </w:r>
      <w:r w:rsidR="0008073B" w:rsidRPr="0037184A">
        <w:rPr>
          <w:rFonts w:ascii="Times New Roman" w:hAnsi="Times New Roman" w:cs="Times New Roman"/>
          <w:sz w:val="24"/>
          <w:szCs w:val="24"/>
        </w:rPr>
        <w:t>виключно після оцінювання конкурсних пропозицій за якісними фінансово-комерційними критеріями.</w:t>
      </w:r>
    </w:p>
    <w:p w:rsidR="00651F20" w:rsidRPr="0037184A" w:rsidRDefault="00651F20" w:rsidP="00651F20">
      <w:pPr>
        <w:spacing w:after="0" w:line="240" w:lineRule="auto"/>
        <w:jc w:val="both"/>
        <w:rPr>
          <w:rFonts w:ascii="Times New Roman" w:hAnsi="Times New Roman" w:cs="Times New Roman"/>
          <w:sz w:val="24"/>
          <w:szCs w:val="24"/>
        </w:rPr>
      </w:pPr>
    </w:p>
    <w:p w:rsidR="0008073B" w:rsidRPr="0037184A" w:rsidRDefault="00651F20" w:rsidP="00651F20">
      <w:p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 xml:space="preserve">12. </w:t>
      </w:r>
      <w:r w:rsidR="0008073B" w:rsidRPr="0037184A">
        <w:rPr>
          <w:rFonts w:ascii="Times New Roman" w:hAnsi="Times New Roman" w:cs="Times New Roman"/>
          <w:sz w:val="24"/>
          <w:szCs w:val="24"/>
        </w:rPr>
        <w:t xml:space="preserve"> </w:t>
      </w:r>
      <w:r w:rsidRPr="0037184A">
        <w:rPr>
          <w:rFonts w:ascii="Times New Roman" w:hAnsi="Times New Roman" w:cs="Times New Roman"/>
          <w:sz w:val="24"/>
          <w:szCs w:val="24"/>
        </w:rPr>
        <w:t>РЕЗУЛЬТАТИ КОНКУРСУ</w:t>
      </w:r>
    </w:p>
    <w:p w:rsidR="00651F20" w:rsidRPr="0037184A"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12.1. </w:t>
      </w:r>
      <w:r w:rsidR="0008073B" w:rsidRPr="0037184A">
        <w:rPr>
          <w:rFonts w:ascii="Times New Roman" w:hAnsi="Times New Roman" w:cs="Times New Roman"/>
          <w:sz w:val="24"/>
          <w:szCs w:val="24"/>
        </w:rPr>
        <w:t>Результати оцінювання конкурсних пропозицій визначаються сукупно за результатами оцінювання технічної частини конкурсних пропозицій (якщо результати такого оцінювання впливають на загальний бал оцінки конкурсної пропозиції відповідно до конкурсної документації) та за результатами оцінювання фінансово-комерційної частини конкурсної пропозиції.</w:t>
      </w:r>
    </w:p>
    <w:p w:rsidR="00651F20" w:rsidRPr="0037184A"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12.2. </w:t>
      </w:r>
      <w:r w:rsidR="0008073B" w:rsidRPr="0037184A">
        <w:rPr>
          <w:rFonts w:ascii="Times New Roman" w:hAnsi="Times New Roman" w:cs="Times New Roman"/>
          <w:sz w:val="24"/>
          <w:szCs w:val="24"/>
        </w:rPr>
        <w:t>Найбільш економічно вигідною конкурсною пропозицією за результатами оцінювання визнається конкурсна пропозиція, яка отримала найвищу оцінку, визначену шляхом додавання оцінок за технічну та фінансово-комерційну частини конкурсної пропозиції.</w:t>
      </w:r>
    </w:p>
    <w:p w:rsidR="0008073B"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12.3. К</w:t>
      </w:r>
      <w:r w:rsidR="0008073B" w:rsidRPr="0037184A">
        <w:rPr>
          <w:rFonts w:ascii="Times New Roman" w:hAnsi="Times New Roman" w:cs="Times New Roman"/>
          <w:sz w:val="24"/>
          <w:szCs w:val="24"/>
        </w:rPr>
        <w:t>омісія відображає результати оцінювання конкурсних пропозицій у своєму протоколі, який оприлюднюється протягом одного робочого дня з дати визначення переможця конкурсу. Протокол про результати оцінювання конкурсних пропозицій повинен містити найменування переможця конкурсу та результати оцінювання фінансово-комерційної частини конкурсних пропозицій усіх учасників конкурсу.</w:t>
      </w:r>
    </w:p>
    <w:p w:rsidR="0037184A" w:rsidRPr="0037184A" w:rsidRDefault="0037184A" w:rsidP="00651F20">
      <w:pPr>
        <w:spacing w:after="0" w:line="240" w:lineRule="auto"/>
        <w:ind w:firstLine="708"/>
        <w:jc w:val="both"/>
        <w:rPr>
          <w:rFonts w:ascii="Times New Roman" w:hAnsi="Times New Roman" w:cs="Times New Roman"/>
          <w:sz w:val="24"/>
          <w:szCs w:val="24"/>
        </w:rPr>
      </w:pPr>
    </w:p>
    <w:p w:rsidR="0008073B" w:rsidRPr="0037184A" w:rsidRDefault="00651F20" w:rsidP="00651F20">
      <w:pPr>
        <w:pStyle w:val="a3"/>
        <w:spacing w:after="0" w:line="240" w:lineRule="auto"/>
        <w:ind w:firstLine="567"/>
        <w:jc w:val="center"/>
        <w:rPr>
          <w:rFonts w:ascii="Times New Roman" w:hAnsi="Times New Roman" w:cs="Times New Roman"/>
          <w:sz w:val="24"/>
          <w:szCs w:val="24"/>
        </w:rPr>
      </w:pPr>
      <w:r w:rsidRPr="0037184A">
        <w:rPr>
          <w:rFonts w:ascii="Times New Roman" w:hAnsi="Times New Roman" w:cs="Times New Roman"/>
          <w:sz w:val="24"/>
          <w:szCs w:val="24"/>
        </w:rPr>
        <w:t>13. ВІДХИЛЕННЯ КОНКУРСНОЇ ПРОПОЗИЦІЇ</w:t>
      </w:r>
    </w:p>
    <w:p w:rsidR="00651F20" w:rsidRPr="0037184A"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13.1. </w:t>
      </w:r>
      <w:r w:rsidR="0008073B" w:rsidRPr="0037184A">
        <w:rPr>
          <w:rFonts w:ascii="Times New Roman" w:hAnsi="Times New Roman" w:cs="Times New Roman"/>
          <w:sz w:val="24"/>
          <w:szCs w:val="24"/>
        </w:rPr>
        <w:t>Конкурсна комісія відхиляє конкурсну пропозицію учасника/переможця конкурсу із зазначенням аргументації, якщо</w:t>
      </w:r>
      <w:r w:rsidRPr="0037184A">
        <w:rPr>
          <w:rFonts w:ascii="Times New Roman" w:hAnsi="Times New Roman" w:cs="Times New Roman"/>
          <w:sz w:val="24"/>
          <w:szCs w:val="24"/>
        </w:rPr>
        <w:t xml:space="preserve"> учасник/переможець конкурсу та/або конкурсна пропозиція учасника конкурсу не відповідає вимогам визначеним Законом України «Про публічно-приватне партнерство», або </w:t>
      </w:r>
      <w:r w:rsidR="0008073B" w:rsidRPr="0037184A">
        <w:rPr>
          <w:rFonts w:ascii="Times New Roman" w:hAnsi="Times New Roman" w:cs="Times New Roman"/>
          <w:sz w:val="24"/>
          <w:szCs w:val="24"/>
        </w:rPr>
        <w:t>переможець конкурсу після проведення переговорів щодо умов договору ППП не забезпечив підписання договору ППП приватним партнером у строк, визначений Законом.</w:t>
      </w:r>
    </w:p>
    <w:p w:rsidR="00651F20" w:rsidRPr="0037184A"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13.2. К</w:t>
      </w:r>
      <w:r w:rsidR="0008073B" w:rsidRPr="0037184A">
        <w:rPr>
          <w:rFonts w:ascii="Times New Roman" w:hAnsi="Times New Roman" w:cs="Times New Roman"/>
          <w:sz w:val="24"/>
          <w:szCs w:val="24"/>
        </w:rPr>
        <w:t>омісія оприлюднює повідомлення про відхилення конкурсної пропозиції, у тому числі підстави такого відхилення (з посиланням на відповідні положення цього Закону, умови конкурсної документації, яким така конкурсна пропозиція та/або учасник конкурсу не відповідають, із зазначенням, у чому полягає невідповідність), протягом одного робочого дня з дня прийняття відповідного рішення та надсилає таке повідомлення учаснику/переможцю конкурсу, конкурсна пропозиція якого відхилена, у порядку, визначеному інструкцією для учасників конкурсу.</w:t>
      </w:r>
    </w:p>
    <w:p w:rsidR="0008073B" w:rsidRPr="0037184A"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13.3. </w:t>
      </w:r>
      <w:r w:rsidR="0008073B" w:rsidRPr="0037184A">
        <w:rPr>
          <w:rFonts w:ascii="Times New Roman" w:hAnsi="Times New Roman" w:cs="Times New Roman"/>
          <w:sz w:val="24"/>
          <w:szCs w:val="24"/>
        </w:rPr>
        <w:t>Якщо учасник/переможець конкурсу, конкурсна пропозиція якого відхилена, вважає недостатньою аргументацію, зазначену в повідомленні про відхилення конкурсної пропозиції та протоколі про результати оцінювання конкурсних пропозицій, він може звернутися до конкурсної комісії з вимогою про надання додаткової інформації про причини невідповідності його конкурсної пропозиції умовам конкурсної документації, а конкурсна комісія зобов’язана надати відповідь на таке звернення протягом п’яти робочих днів з дня його надходження та повідомити учаснику/переможцю конкурсу про особливості та переваги обраної конкурсної пропозиції.</w:t>
      </w:r>
    </w:p>
    <w:p w:rsidR="0008073B" w:rsidRPr="0037184A" w:rsidRDefault="0008073B" w:rsidP="0008073B">
      <w:pPr>
        <w:pStyle w:val="a3"/>
        <w:spacing w:after="0" w:line="240" w:lineRule="auto"/>
        <w:ind w:firstLine="567"/>
        <w:jc w:val="both"/>
        <w:rPr>
          <w:rFonts w:ascii="Times New Roman" w:hAnsi="Times New Roman" w:cs="Times New Roman"/>
          <w:sz w:val="24"/>
          <w:szCs w:val="24"/>
        </w:rPr>
      </w:pPr>
    </w:p>
    <w:p w:rsidR="00983A8C" w:rsidRDefault="00651F20" w:rsidP="00651F20">
      <w:p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lastRenderedPageBreak/>
        <w:t>14. СКАСУВАННЯ КОНКУРСУ АБО</w:t>
      </w:r>
    </w:p>
    <w:p w:rsidR="0008073B" w:rsidRPr="0037184A" w:rsidRDefault="00651F20" w:rsidP="00651F20">
      <w:pPr>
        <w:spacing w:after="0" w:line="240" w:lineRule="auto"/>
        <w:jc w:val="center"/>
        <w:rPr>
          <w:rFonts w:ascii="Times New Roman" w:hAnsi="Times New Roman" w:cs="Times New Roman"/>
          <w:sz w:val="24"/>
          <w:szCs w:val="24"/>
        </w:rPr>
      </w:pPr>
      <w:r w:rsidRPr="0037184A">
        <w:rPr>
          <w:rFonts w:ascii="Times New Roman" w:hAnsi="Times New Roman" w:cs="Times New Roman"/>
          <w:sz w:val="24"/>
          <w:szCs w:val="24"/>
        </w:rPr>
        <w:t xml:space="preserve"> ВИЗНАННЯ ЙОГО ТАКИМ, ЩО НЕ ВІДБУВСЯ</w:t>
      </w:r>
    </w:p>
    <w:p w:rsidR="00651F20" w:rsidRPr="0037184A" w:rsidRDefault="00651F20" w:rsidP="00651F20">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14.</w:t>
      </w:r>
      <w:r w:rsidR="0008073B" w:rsidRPr="0037184A">
        <w:rPr>
          <w:rFonts w:ascii="Times New Roman" w:hAnsi="Times New Roman" w:cs="Times New Roman"/>
          <w:sz w:val="24"/>
          <w:szCs w:val="24"/>
        </w:rPr>
        <w:t xml:space="preserve">1. Конкурс скасовується </w:t>
      </w:r>
      <w:r w:rsidRPr="0037184A">
        <w:rPr>
          <w:rFonts w:ascii="Times New Roman" w:hAnsi="Times New Roman" w:cs="Times New Roman"/>
          <w:sz w:val="24"/>
          <w:szCs w:val="24"/>
        </w:rPr>
        <w:t xml:space="preserve">та/або визнається Комісією таким, що не відбувся </w:t>
      </w:r>
      <w:r w:rsidR="0008073B" w:rsidRPr="0037184A">
        <w:rPr>
          <w:rFonts w:ascii="Times New Roman" w:hAnsi="Times New Roman" w:cs="Times New Roman"/>
          <w:sz w:val="24"/>
          <w:szCs w:val="24"/>
        </w:rPr>
        <w:t>у</w:t>
      </w:r>
      <w:r w:rsidRPr="0037184A">
        <w:rPr>
          <w:rFonts w:ascii="Times New Roman" w:hAnsi="Times New Roman" w:cs="Times New Roman"/>
          <w:sz w:val="24"/>
          <w:szCs w:val="24"/>
        </w:rPr>
        <w:t xml:space="preserve"> випадках передбачених Законом України «Про публічно-приватне партнерство»;</w:t>
      </w:r>
    </w:p>
    <w:p w:rsidR="00441B65" w:rsidRPr="0037184A" w:rsidRDefault="00651F20" w:rsidP="00441B6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14.2. </w:t>
      </w:r>
      <w:r w:rsidR="0008073B" w:rsidRPr="0037184A">
        <w:rPr>
          <w:rFonts w:ascii="Times New Roman" w:hAnsi="Times New Roman" w:cs="Times New Roman"/>
          <w:sz w:val="24"/>
          <w:szCs w:val="24"/>
        </w:rPr>
        <w:t xml:space="preserve">У разі скасування конкурсу або визнання конкурсу таким, що не відбувся, конкурсна комісія протягом одного робочого дня з дня прийняття відповідного рішення оприлюднює таке рішення на веб-порталі </w:t>
      </w:r>
      <w:r w:rsidR="00C73847" w:rsidRPr="0037184A">
        <w:rPr>
          <w:rFonts w:ascii="Times New Roman" w:hAnsi="Times New Roman" w:cs="Times New Roman"/>
          <w:sz w:val="24"/>
          <w:szCs w:val="24"/>
        </w:rPr>
        <w:t>Уповноваженого органу з питань закупівель</w:t>
      </w:r>
      <w:r w:rsidR="00690D7C"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із зазначенням підстави його прийняття.</w:t>
      </w:r>
    </w:p>
    <w:p w:rsidR="0008073B" w:rsidRPr="0037184A" w:rsidRDefault="00441B65" w:rsidP="00441B6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14.3. </w:t>
      </w:r>
      <w:r w:rsidR="0008073B" w:rsidRPr="0037184A">
        <w:rPr>
          <w:rFonts w:ascii="Times New Roman" w:hAnsi="Times New Roman" w:cs="Times New Roman"/>
          <w:sz w:val="24"/>
          <w:szCs w:val="24"/>
        </w:rPr>
        <w:t>Публічний партнер та конкурсна комісія не несуть жодної матеріальної відповідальності за шкоду, завдану претендентам та/або учасникам конкурсу, та/або переможцям конкурсу у зв’язку із скасуванням конкурсу або визнанням його таким, що не відбувся.</w:t>
      </w:r>
    </w:p>
    <w:p w:rsidR="0008073B" w:rsidRPr="0037184A" w:rsidRDefault="0008073B" w:rsidP="0008073B">
      <w:pPr>
        <w:pStyle w:val="a3"/>
        <w:spacing w:after="0" w:line="240" w:lineRule="auto"/>
        <w:ind w:firstLine="567"/>
        <w:jc w:val="both"/>
        <w:rPr>
          <w:rFonts w:ascii="Times New Roman" w:hAnsi="Times New Roman" w:cs="Times New Roman"/>
          <w:sz w:val="24"/>
          <w:szCs w:val="24"/>
        </w:rPr>
      </w:pPr>
    </w:p>
    <w:p w:rsidR="0008073B" w:rsidRPr="0037184A" w:rsidRDefault="00441B65" w:rsidP="00441B65">
      <w:pPr>
        <w:pStyle w:val="a3"/>
        <w:spacing w:after="0" w:line="240" w:lineRule="auto"/>
        <w:ind w:firstLine="567"/>
        <w:jc w:val="center"/>
        <w:rPr>
          <w:rFonts w:ascii="Times New Roman" w:hAnsi="Times New Roman" w:cs="Times New Roman"/>
          <w:sz w:val="24"/>
          <w:szCs w:val="24"/>
        </w:rPr>
      </w:pPr>
      <w:r w:rsidRPr="0037184A">
        <w:rPr>
          <w:rFonts w:ascii="Times New Roman" w:hAnsi="Times New Roman" w:cs="Times New Roman"/>
          <w:sz w:val="24"/>
          <w:szCs w:val="24"/>
        </w:rPr>
        <w:t>15. ЗАВЕРШЕННЯ КОНКУРСУ ТА ПРОВЕДЕННЯ ПЕРЕГОВОРІВ ЩОДО УКЛАДЕННЯ ДОГОВОРУ ПУБЛІЧНО-ПРИВАТНОГО ПАРТНЕРСТВА</w:t>
      </w:r>
    </w:p>
    <w:p w:rsidR="00441B65" w:rsidRPr="0037184A" w:rsidRDefault="00441B65" w:rsidP="00441B6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15.1. К</w:t>
      </w:r>
      <w:r w:rsidR="0008073B" w:rsidRPr="0037184A">
        <w:rPr>
          <w:rFonts w:ascii="Times New Roman" w:hAnsi="Times New Roman" w:cs="Times New Roman"/>
          <w:sz w:val="24"/>
          <w:szCs w:val="24"/>
        </w:rPr>
        <w:t>омісія надсилає переможцю конкурсу запрошення до укладення договору ППП у порядку та строк, визначені конкурсною документацією. Приватний партнер, який укладає договір ППП, може бути однією особою з переможцем конкурсу (якщо переможець конкурсу відповідає вимогам до приватного партнера для реалізації проекту ППП) або може бути створений переможцем конкурсу відповідно до вимог конкурсної документації.</w:t>
      </w:r>
    </w:p>
    <w:p w:rsidR="00441B65" w:rsidRPr="0037184A" w:rsidRDefault="00441B65" w:rsidP="00441B6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15.2. </w:t>
      </w:r>
      <w:r w:rsidR="0008073B" w:rsidRPr="0037184A">
        <w:rPr>
          <w:rFonts w:ascii="Times New Roman" w:hAnsi="Times New Roman" w:cs="Times New Roman"/>
          <w:sz w:val="24"/>
          <w:szCs w:val="24"/>
        </w:rPr>
        <w:t>Під час укладення договору ППП забороняється змінювати істотні умови договору, у тому числі положення про розподіл ризиків ППП між сторонами, та положення, що відображають зміст конкурсної пропозиції переможця конкурсу.</w:t>
      </w:r>
    </w:p>
    <w:p w:rsidR="00442595" w:rsidRPr="0037184A" w:rsidRDefault="00441B65"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w:t>
      </w:r>
      <w:r w:rsidR="00442595" w:rsidRPr="0037184A">
        <w:rPr>
          <w:rFonts w:ascii="Times New Roman" w:hAnsi="Times New Roman" w:cs="Times New Roman"/>
          <w:sz w:val="24"/>
          <w:szCs w:val="24"/>
        </w:rPr>
        <w:t>3</w:t>
      </w:r>
      <w:r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Дія положень цієї частини поширюється на запрошення до укладення договору ППП другого за результатом учасника конкурсу у випадку, передбаченому частиною другою цієї статті.</w:t>
      </w:r>
    </w:p>
    <w:p w:rsidR="00442595" w:rsidRPr="0037184A" w:rsidRDefault="00442595"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w:t>
      </w:r>
      <w:r w:rsidR="00300F9C" w:rsidRPr="0037184A">
        <w:rPr>
          <w:rFonts w:ascii="Times New Roman" w:hAnsi="Times New Roman" w:cs="Times New Roman"/>
          <w:sz w:val="24"/>
          <w:szCs w:val="24"/>
        </w:rPr>
        <w:t>4</w:t>
      </w:r>
      <w:r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Якщо протягом 60 календарних днів з дня отримання переможцем конкурсу запрошення до укладення договору ППП такий договір не укладено, публічний партнер повідомляє переможця конкурсу про припинення переговорів та запрошує до укладення договору ППП другого за результатом учасника конкурсу. За рішенням публічного партнера такий строк може бути продовжений у разі реалізації інноваційних проектів, великих комплексних інфраструктурних проектів за письмовою згодою сторін переговорів, але загальний строк переговорів не може перевищувати 90 календарних днів.</w:t>
      </w:r>
    </w:p>
    <w:p w:rsidR="00442595" w:rsidRPr="0037184A" w:rsidRDefault="00442595"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w:t>
      </w:r>
      <w:r w:rsidR="00300F9C" w:rsidRPr="0037184A">
        <w:rPr>
          <w:rFonts w:ascii="Times New Roman" w:hAnsi="Times New Roman" w:cs="Times New Roman"/>
          <w:sz w:val="24"/>
          <w:szCs w:val="24"/>
        </w:rPr>
        <w:t>5</w:t>
      </w:r>
      <w:r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Переговори з другим за результатом учасником конкурсу щодо умов договору ППП тривають не більше 60 календарних днів з дати повідомлення про припинення переговорів з переможцем конкурсу. За рішенням публічного партнера такий строк може бути продовжений у разі реалізації інноваційних проектів, великих комплексних інфраструктурних проектів за письмовою згодою сторін переговорів, але загальний строк переговорів не може перевищувати 90 календарних днів.</w:t>
      </w:r>
    </w:p>
    <w:p w:rsidR="00442595" w:rsidRPr="0037184A" w:rsidRDefault="00442595"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w:t>
      </w:r>
      <w:r w:rsidR="00300F9C" w:rsidRPr="0037184A">
        <w:rPr>
          <w:rFonts w:ascii="Times New Roman" w:hAnsi="Times New Roman" w:cs="Times New Roman"/>
          <w:sz w:val="24"/>
          <w:szCs w:val="24"/>
        </w:rPr>
        <w:t>6</w:t>
      </w:r>
      <w:r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 xml:space="preserve"> Якщо за результатами переговорів щодо умов договору ППП з другим за результатом учасником конкурсу такий договір не укладено, конкурс визнається таким, що не відбувся.</w:t>
      </w:r>
    </w:p>
    <w:p w:rsidR="00442595" w:rsidRPr="0037184A" w:rsidRDefault="00442595"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w:t>
      </w:r>
      <w:r w:rsidR="00300F9C" w:rsidRPr="0037184A">
        <w:rPr>
          <w:rFonts w:ascii="Times New Roman" w:hAnsi="Times New Roman" w:cs="Times New Roman"/>
          <w:sz w:val="24"/>
          <w:szCs w:val="24"/>
        </w:rPr>
        <w:t>7</w:t>
      </w:r>
      <w:r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У такому разі публічний партнер може прийняти рішення про проведення повторного конкурсу в порядку, встановленому цим Законом.</w:t>
      </w:r>
    </w:p>
    <w:p w:rsidR="00442595" w:rsidRPr="0037184A" w:rsidRDefault="00442595"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15.</w:t>
      </w:r>
      <w:r w:rsidR="00300F9C" w:rsidRPr="0037184A">
        <w:rPr>
          <w:rFonts w:ascii="Times New Roman" w:hAnsi="Times New Roman" w:cs="Times New Roman"/>
          <w:sz w:val="24"/>
          <w:szCs w:val="24"/>
        </w:rPr>
        <w:t>8</w:t>
      </w:r>
      <w:r w:rsidRPr="0037184A">
        <w:rPr>
          <w:rFonts w:ascii="Times New Roman" w:hAnsi="Times New Roman" w:cs="Times New Roman"/>
          <w:sz w:val="24"/>
          <w:szCs w:val="24"/>
        </w:rPr>
        <w:t xml:space="preserve">. </w:t>
      </w:r>
      <w:r w:rsidR="0008073B" w:rsidRPr="0037184A">
        <w:rPr>
          <w:rFonts w:ascii="Times New Roman" w:hAnsi="Times New Roman" w:cs="Times New Roman"/>
          <w:sz w:val="24"/>
          <w:szCs w:val="24"/>
        </w:rPr>
        <w:t>Рішення про проведення повторного конкурсу приймається не пізніше 60 календарних днів з дати визнання конкурсу таким, що не відбувся. У разі прийняття такого рішення проект ППП повертається до етапу рішення про здійснення ППП.</w:t>
      </w:r>
    </w:p>
    <w:p w:rsidR="0008073B" w:rsidRPr="0037184A" w:rsidRDefault="0008073B" w:rsidP="00442595">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Повторний конкурс проводиться у порядку, визначеному цим Законом.</w:t>
      </w:r>
    </w:p>
    <w:p w:rsidR="0008073B" w:rsidRPr="0037184A" w:rsidRDefault="0008073B" w:rsidP="0008073B">
      <w:pPr>
        <w:pStyle w:val="a3"/>
        <w:spacing w:after="0" w:line="240" w:lineRule="auto"/>
        <w:ind w:firstLine="567"/>
        <w:jc w:val="both"/>
        <w:rPr>
          <w:rFonts w:ascii="Times New Roman" w:hAnsi="Times New Roman" w:cs="Times New Roman"/>
          <w:sz w:val="24"/>
          <w:szCs w:val="24"/>
        </w:rPr>
      </w:pPr>
    </w:p>
    <w:p w:rsidR="0008073B" w:rsidRPr="0037184A" w:rsidRDefault="0017107C" w:rsidP="0017107C">
      <w:pPr>
        <w:pStyle w:val="a3"/>
        <w:spacing w:after="0" w:line="240" w:lineRule="auto"/>
        <w:ind w:firstLine="567"/>
        <w:jc w:val="center"/>
        <w:rPr>
          <w:rFonts w:ascii="Times New Roman" w:hAnsi="Times New Roman" w:cs="Times New Roman"/>
          <w:sz w:val="24"/>
          <w:szCs w:val="24"/>
        </w:rPr>
      </w:pPr>
      <w:r w:rsidRPr="0037184A">
        <w:rPr>
          <w:rFonts w:ascii="Times New Roman" w:hAnsi="Times New Roman" w:cs="Times New Roman"/>
          <w:sz w:val="24"/>
          <w:szCs w:val="24"/>
        </w:rPr>
        <w:t xml:space="preserve">16. </w:t>
      </w:r>
      <w:r w:rsidR="00442595" w:rsidRPr="0037184A">
        <w:rPr>
          <w:rFonts w:ascii="Times New Roman" w:hAnsi="Times New Roman" w:cs="Times New Roman"/>
          <w:sz w:val="24"/>
          <w:szCs w:val="24"/>
        </w:rPr>
        <w:t>ОСКАРЖЕННЯ</w:t>
      </w:r>
    </w:p>
    <w:p w:rsidR="0008073B" w:rsidRDefault="00A072D1" w:rsidP="005F52F9">
      <w:pPr>
        <w:spacing w:after="0" w:line="240" w:lineRule="auto"/>
        <w:ind w:firstLine="708"/>
        <w:jc w:val="both"/>
        <w:rPr>
          <w:rFonts w:ascii="Times New Roman" w:hAnsi="Times New Roman" w:cs="Times New Roman"/>
          <w:sz w:val="24"/>
          <w:szCs w:val="24"/>
        </w:rPr>
      </w:pPr>
      <w:r w:rsidRPr="0037184A">
        <w:rPr>
          <w:rFonts w:ascii="Times New Roman" w:hAnsi="Times New Roman" w:cs="Times New Roman"/>
          <w:sz w:val="24"/>
          <w:szCs w:val="24"/>
        </w:rPr>
        <w:t xml:space="preserve">16.1. </w:t>
      </w:r>
      <w:r w:rsidR="0008073B" w:rsidRPr="0037184A">
        <w:rPr>
          <w:rFonts w:ascii="Times New Roman" w:hAnsi="Times New Roman" w:cs="Times New Roman"/>
          <w:sz w:val="24"/>
          <w:szCs w:val="24"/>
        </w:rPr>
        <w:t>Оскарження конкурентних процедур з відбору приватного партнера здійснюється в порядк</w:t>
      </w:r>
      <w:r w:rsidR="001A5E60" w:rsidRPr="0037184A">
        <w:rPr>
          <w:rFonts w:ascii="Times New Roman" w:hAnsi="Times New Roman" w:cs="Times New Roman"/>
          <w:sz w:val="24"/>
          <w:szCs w:val="24"/>
        </w:rPr>
        <w:t>у, визначеному Законом України «</w:t>
      </w:r>
      <w:r w:rsidR="0008073B" w:rsidRPr="0037184A">
        <w:rPr>
          <w:rFonts w:ascii="Times New Roman" w:hAnsi="Times New Roman" w:cs="Times New Roman"/>
          <w:sz w:val="24"/>
          <w:szCs w:val="24"/>
        </w:rPr>
        <w:t>Про публічні закупівлі</w:t>
      </w:r>
      <w:r w:rsidR="001A5E60" w:rsidRPr="0037184A">
        <w:rPr>
          <w:rFonts w:ascii="Times New Roman" w:hAnsi="Times New Roman" w:cs="Times New Roman"/>
          <w:sz w:val="24"/>
          <w:szCs w:val="24"/>
        </w:rPr>
        <w:t>»</w:t>
      </w:r>
      <w:r w:rsidR="0008073B" w:rsidRPr="0037184A">
        <w:rPr>
          <w:rFonts w:ascii="Times New Roman" w:hAnsi="Times New Roman" w:cs="Times New Roman"/>
          <w:sz w:val="24"/>
          <w:szCs w:val="24"/>
        </w:rPr>
        <w:t>, з урахуванням особливостей, передбачених цим Законом.</w:t>
      </w:r>
    </w:p>
    <w:p w:rsidR="00F535E9" w:rsidRDefault="00F535E9" w:rsidP="005F52F9">
      <w:pPr>
        <w:spacing w:after="0" w:line="240" w:lineRule="auto"/>
        <w:ind w:firstLine="708"/>
        <w:jc w:val="both"/>
        <w:rPr>
          <w:rFonts w:ascii="Times New Roman" w:hAnsi="Times New Roman" w:cs="Times New Roman"/>
          <w:sz w:val="24"/>
          <w:szCs w:val="24"/>
        </w:rPr>
      </w:pPr>
    </w:p>
    <w:p w:rsidR="00F535E9" w:rsidRPr="0037184A" w:rsidRDefault="00F535E9" w:rsidP="005F52F9">
      <w:pPr>
        <w:spacing w:after="0" w:line="240" w:lineRule="auto"/>
        <w:ind w:firstLine="708"/>
        <w:jc w:val="both"/>
        <w:rPr>
          <w:rFonts w:ascii="Times New Roman" w:hAnsi="Times New Roman" w:cs="Times New Roman"/>
          <w:sz w:val="24"/>
          <w:szCs w:val="24"/>
        </w:rPr>
      </w:pPr>
    </w:p>
    <w:p w:rsidR="005F52F9" w:rsidRPr="00A468D3" w:rsidRDefault="007C7D17" w:rsidP="005F5CBD">
      <w:pPr>
        <w:spacing w:after="0" w:line="240" w:lineRule="auto"/>
        <w:jc w:val="both"/>
        <w:rPr>
          <w:rFonts w:ascii="Times New Roman" w:hAnsi="Times New Roman" w:cs="Times New Roman"/>
          <w:sz w:val="27"/>
          <w:szCs w:val="27"/>
        </w:rPr>
      </w:pPr>
      <w:bookmarkStart w:id="35" w:name="_GoBack"/>
      <w:r w:rsidRPr="00A468D3">
        <w:rPr>
          <w:rFonts w:ascii="Times New Roman" w:hAnsi="Times New Roman" w:cs="Times New Roman"/>
          <w:sz w:val="27"/>
          <w:szCs w:val="27"/>
        </w:rPr>
        <w:t xml:space="preserve">Секретар міської ради </w:t>
      </w:r>
      <w:r w:rsidRPr="00A468D3">
        <w:rPr>
          <w:rFonts w:ascii="Times New Roman" w:hAnsi="Times New Roman" w:cs="Times New Roman"/>
          <w:sz w:val="27"/>
          <w:szCs w:val="27"/>
        </w:rPr>
        <w:tab/>
      </w:r>
      <w:r w:rsidR="005F5CBD" w:rsidRPr="00A468D3">
        <w:rPr>
          <w:rFonts w:ascii="Times New Roman" w:hAnsi="Times New Roman" w:cs="Times New Roman"/>
          <w:sz w:val="27"/>
          <w:szCs w:val="27"/>
        </w:rPr>
        <w:t xml:space="preserve">   </w:t>
      </w:r>
      <w:r w:rsidRPr="00A468D3">
        <w:rPr>
          <w:rFonts w:ascii="Times New Roman" w:hAnsi="Times New Roman" w:cs="Times New Roman"/>
          <w:sz w:val="27"/>
          <w:szCs w:val="27"/>
        </w:rPr>
        <w:tab/>
      </w:r>
      <w:r w:rsidRPr="00A468D3">
        <w:rPr>
          <w:rFonts w:ascii="Times New Roman" w:hAnsi="Times New Roman" w:cs="Times New Roman"/>
          <w:sz w:val="27"/>
          <w:szCs w:val="27"/>
        </w:rPr>
        <w:tab/>
      </w:r>
      <w:r w:rsidR="005F5CBD" w:rsidRPr="00A468D3">
        <w:rPr>
          <w:rFonts w:ascii="Times New Roman" w:hAnsi="Times New Roman" w:cs="Times New Roman"/>
          <w:sz w:val="27"/>
          <w:szCs w:val="27"/>
        </w:rPr>
        <w:t xml:space="preserve">            </w:t>
      </w:r>
      <w:r w:rsidRPr="00A468D3">
        <w:rPr>
          <w:rFonts w:ascii="Times New Roman" w:hAnsi="Times New Roman" w:cs="Times New Roman"/>
          <w:sz w:val="27"/>
          <w:szCs w:val="27"/>
        </w:rPr>
        <w:tab/>
      </w:r>
      <w:r w:rsidR="00242E7E" w:rsidRPr="00A468D3">
        <w:rPr>
          <w:rFonts w:ascii="Times New Roman" w:hAnsi="Times New Roman" w:cs="Times New Roman"/>
          <w:sz w:val="27"/>
          <w:szCs w:val="27"/>
        </w:rPr>
        <w:t xml:space="preserve">     </w:t>
      </w:r>
      <w:r w:rsidRPr="00A468D3">
        <w:rPr>
          <w:rFonts w:ascii="Times New Roman" w:hAnsi="Times New Roman" w:cs="Times New Roman"/>
          <w:sz w:val="27"/>
          <w:szCs w:val="27"/>
        </w:rPr>
        <w:tab/>
        <w:t>Олександр СКАЛОЗУБ</w:t>
      </w:r>
      <w:bookmarkEnd w:id="35"/>
    </w:p>
    <w:sectPr w:rsidR="005F52F9" w:rsidRPr="00A468D3" w:rsidSect="0037184A">
      <w:headerReference w:type="even" r:id="rId9"/>
      <w:headerReference w:type="default" r:id="rId10"/>
      <w:footerReference w:type="even" r:id="rId11"/>
      <w:footerReference w:type="default" r:id="rId12"/>
      <w:headerReference w:type="first" r:id="rId13"/>
      <w:footerReference w:type="first" r:id="rId14"/>
      <w:pgSz w:w="11906" w:h="16838"/>
      <w:pgMar w:top="568" w:right="707"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9E3" w:rsidRDefault="007F29E3" w:rsidP="004235FE">
      <w:pPr>
        <w:spacing w:after="0" w:line="240" w:lineRule="auto"/>
      </w:pPr>
      <w:r>
        <w:separator/>
      </w:r>
    </w:p>
  </w:endnote>
  <w:endnote w:type="continuationSeparator" w:id="0">
    <w:p w:rsidR="007F29E3" w:rsidRDefault="007F29E3" w:rsidP="00423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FE" w:rsidRDefault="004235F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FE" w:rsidRDefault="004235F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FE" w:rsidRDefault="004235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9E3" w:rsidRDefault="007F29E3" w:rsidP="004235FE">
      <w:pPr>
        <w:spacing w:after="0" w:line="240" w:lineRule="auto"/>
      </w:pPr>
      <w:r>
        <w:separator/>
      </w:r>
    </w:p>
  </w:footnote>
  <w:footnote w:type="continuationSeparator" w:id="0">
    <w:p w:rsidR="007F29E3" w:rsidRDefault="007F29E3" w:rsidP="004235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FE" w:rsidRDefault="004235F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FE" w:rsidRDefault="004235F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FE" w:rsidRDefault="004235F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036"/>
    <w:multiLevelType w:val="multilevel"/>
    <w:tmpl w:val="4BAA3364"/>
    <w:lvl w:ilvl="0">
      <w:start w:val="4"/>
      <w:numFmt w:val="decimal"/>
      <w:lvlText w:val="%1."/>
      <w:lvlJc w:val="left"/>
      <w:pPr>
        <w:ind w:left="1068" w:hanging="360"/>
      </w:pPr>
      <w:rPr>
        <w:rFonts w:hint="default"/>
      </w:rPr>
    </w:lvl>
    <w:lvl w:ilvl="1">
      <w:start w:val="1"/>
      <w:numFmt w:val="decimal"/>
      <w:isLgl/>
      <w:lvlText w:val="%1.%2."/>
      <w:lvlJc w:val="left"/>
      <w:pPr>
        <w:ind w:left="1788" w:hanging="720"/>
      </w:pPr>
      <w:rPr>
        <w:rFonts w:hint="default"/>
        <w:color w:val="auto"/>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
    <w:nsid w:val="1AF61816"/>
    <w:multiLevelType w:val="multilevel"/>
    <w:tmpl w:val="5EEA947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E3B7CE4"/>
    <w:multiLevelType w:val="multilevel"/>
    <w:tmpl w:val="A7BC46E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FB7C85"/>
    <w:multiLevelType w:val="multilevel"/>
    <w:tmpl w:val="4BAA3364"/>
    <w:lvl w:ilvl="0">
      <w:start w:val="4"/>
      <w:numFmt w:val="decimal"/>
      <w:lvlText w:val="%1."/>
      <w:lvlJc w:val="left"/>
      <w:pPr>
        <w:ind w:left="1068" w:hanging="360"/>
      </w:pPr>
      <w:rPr>
        <w:rFonts w:hint="default"/>
      </w:rPr>
    </w:lvl>
    <w:lvl w:ilvl="1">
      <w:start w:val="1"/>
      <w:numFmt w:val="decimal"/>
      <w:isLgl/>
      <w:lvlText w:val="%1.%2."/>
      <w:lvlJc w:val="left"/>
      <w:pPr>
        <w:ind w:left="1788" w:hanging="720"/>
      </w:pPr>
      <w:rPr>
        <w:rFonts w:hint="default"/>
        <w:color w:val="auto"/>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4">
    <w:nsid w:val="2BBA3E52"/>
    <w:multiLevelType w:val="multilevel"/>
    <w:tmpl w:val="6DD291AA"/>
    <w:lvl w:ilvl="0">
      <w:start w:val="4"/>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5">
    <w:nsid w:val="32C14F84"/>
    <w:multiLevelType w:val="hybridMultilevel"/>
    <w:tmpl w:val="85D48DF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6">
    <w:nsid w:val="4A3F086F"/>
    <w:multiLevelType w:val="hybridMultilevel"/>
    <w:tmpl w:val="9CF4A52C"/>
    <w:lvl w:ilvl="0" w:tplc="FC169A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623434F4"/>
    <w:multiLevelType w:val="hybridMultilevel"/>
    <w:tmpl w:val="4C8CFC16"/>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C244E"/>
    <w:rsid w:val="0001302C"/>
    <w:rsid w:val="0001561E"/>
    <w:rsid w:val="00017137"/>
    <w:rsid w:val="0006496E"/>
    <w:rsid w:val="00074905"/>
    <w:rsid w:val="0008073B"/>
    <w:rsid w:val="00082D84"/>
    <w:rsid w:val="00091315"/>
    <w:rsid w:val="000B52D8"/>
    <w:rsid w:val="000C244E"/>
    <w:rsid w:val="000D3A54"/>
    <w:rsid w:val="000D3F59"/>
    <w:rsid w:val="000E3BC7"/>
    <w:rsid w:val="0011304F"/>
    <w:rsid w:val="0012589D"/>
    <w:rsid w:val="001379A5"/>
    <w:rsid w:val="00146F87"/>
    <w:rsid w:val="00160CEE"/>
    <w:rsid w:val="00165C2D"/>
    <w:rsid w:val="00166B1E"/>
    <w:rsid w:val="0017107C"/>
    <w:rsid w:val="00187085"/>
    <w:rsid w:val="001A5E60"/>
    <w:rsid w:val="001A607D"/>
    <w:rsid w:val="001B16DC"/>
    <w:rsid w:val="001C6B8C"/>
    <w:rsid w:val="001D4CFB"/>
    <w:rsid w:val="001E4711"/>
    <w:rsid w:val="00221ED9"/>
    <w:rsid w:val="002249AB"/>
    <w:rsid w:val="002411E8"/>
    <w:rsid w:val="00242E7E"/>
    <w:rsid w:val="00275BDF"/>
    <w:rsid w:val="00284313"/>
    <w:rsid w:val="002945F2"/>
    <w:rsid w:val="002B33B1"/>
    <w:rsid w:val="002E2128"/>
    <w:rsid w:val="002E3059"/>
    <w:rsid w:val="002F36FF"/>
    <w:rsid w:val="00300F9C"/>
    <w:rsid w:val="00301A04"/>
    <w:rsid w:val="00315DAB"/>
    <w:rsid w:val="003501D1"/>
    <w:rsid w:val="00370DA4"/>
    <w:rsid w:val="0037184A"/>
    <w:rsid w:val="0039674F"/>
    <w:rsid w:val="003A3DED"/>
    <w:rsid w:val="003C317D"/>
    <w:rsid w:val="003D26D4"/>
    <w:rsid w:val="003E598F"/>
    <w:rsid w:val="00401CA3"/>
    <w:rsid w:val="00404FB3"/>
    <w:rsid w:val="004235FE"/>
    <w:rsid w:val="00424FDB"/>
    <w:rsid w:val="00427E84"/>
    <w:rsid w:val="004306EA"/>
    <w:rsid w:val="00441B65"/>
    <w:rsid w:val="00442595"/>
    <w:rsid w:val="0045650A"/>
    <w:rsid w:val="00483148"/>
    <w:rsid w:val="004934DE"/>
    <w:rsid w:val="004B6315"/>
    <w:rsid w:val="004B690B"/>
    <w:rsid w:val="004C406F"/>
    <w:rsid w:val="004D3BCD"/>
    <w:rsid w:val="004E3DB2"/>
    <w:rsid w:val="00531090"/>
    <w:rsid w:val="00537DAB"/>
    <w:rsid w:val="0054450C"/>
    <w:rsid w:val="00545B4B"/>
    <w:rsid w:val="0057687B"/>
    <w:rsid w:val="005B78FC"/>
    <w:rsid w:val="005C2D35"/>
    <w:rsid w:val="005D6489"/>
    <w:rsid w:val="005D7A48"/>
    <w:rsid w:val="005F52F9"/>
    <w:rsid w:val="005F5CBD"/>
    <w:rsid w:val="006039D1"/>
    <w:rsid w:val="00620044"/>
    <w:rsid w:val="00623F6A"/>
    <w:rsid w:val="00647976"/>
    <w:rsid w:val="00650005"/>
    <w:rsid w:val="00651F20"/>
    <w:rsid w:val="006572C0"/>
    <w:rsid w:val="00675C9A"/>
    <w:rsid w:val="00690D7C"/>
    <w:rsid w:val="006A363F"/>
    <w:rsid w:val="006C4E58"/>
    <w:rsid w:val="006C71B8"/>
    <w:rsid w:val="006D2160"/>
    <w:rsid w:val="006D53E5"/>
    <w:rsid w:val="00716BBC"/>
    <w:rsid w:val="007A6062"/>
    <w:rsid w:val="007B28A1"/>
    <w:rsid w:val="007C7D17"/>
    <w:rsid w:val="007F29E3"/>
    <w:rsid w:val="00805071"/>
    <w:rsid w:val="00830FEE"/>
    <w:rsid w:val="00832B94"/>
    <w:rsid w:val="008836AE"/>
    <w:rsid w:val="008B4180"/>
    <w:rsid w:val="008B48D2"/>
    <w:rsid w:val="008C27AF"/>
    <w:rsid w:val="008E24C9"/>
    <w:rsid w:val="008F2ADC"/>
    <w:rsid w:val="00906A15"/>
    <w:rsid w:val="009419DE"/>
    <w:rsid w:val="009760C4"/>
    <w:rsid w:val="00983A8C"/>
    <w:rsid w:val="009A3CBB"/>
    <w:rsid w:val="009B721A"/>
    <w:rsid w:val="009D2F19"/>
    <w:rsid w:val="009D3799"/>
    <w:rsid w:val="00A072D1"/>
    <w:rsid w:val="00A16D16"/>
    <w:rsid w:val="00A24580"/>
    <w:rsid w:val="00A468D3"/>
    <w:rsid w:val="00A50203"/>
    <w:rsid w:val="00A9216B"/>
    <w:rsid w:val="00AA2CED"/>
    <w:rsid w:val="00AD1FE4"/>
    <w:rsid w:val="00AE4CA6"/>
    <w:rsid w:val="00AF7E7D"/>
    <w:rsid w:val="00B148CD"/>
    <w:rsid w:val="00B260CA"/>
    <w:rsid w:val="00B27C0C"/>
    <w:rsid w:val="00B306FB"/>
    <w:rsid w:val="00B770E0"/>
    <w:rsid w:val="00BA4414"/>
    <w:rsid w:val="00C246C9"/>
    <w:rsid w:val="00C46E87"/>
    <w:rsid w:val="00C50D21"/>
    <w:rsid w:val="00C57B57"/>
    <w:rsid w:val="00C61302"/>
    <w:rsid w:val="00C73847"/>
    <w:rsid w:val="00C87955"/>
    <w:rsid w:val="00C93462"/>
    <w:rsid w:val="00CB067D"/>
    <w:rsid w:val="00CC5A9C"/>
    <w:rsid w:val="00CD4795"/>
    <w:rsid w:val="00CD6059"/>
    <w:rsid w:val="00CF0E4F"/>
    <w:rsid w:val="00CF6678"/>
    <w:rsid w:val="00CF6CE7"/>
    <w:rsid w:val="00D53B19"/>
    <w:rsid w:val="00E4249C"/>
    <w:rsid w:val="00E44C44"/>
    <w:rsid w:val="00E6749D"/>
    <w:rsid w:val="00E903AF"/>
    <w:rsid w:val="00E94D68"/>
    <w:rsid w:val="00EA276A"/>
    <w:rsid w:val="00EF39EC"/>
    <w:rsid w:val="00F06ECC"/>
    <w:rsid w:val="00F072CE"/>
    <w:rsid w:val="00F16F8F"/>
    <w:rsid w:val="00F24F35"/>
    <w:rsid w:val="00F24F7E"/>
    <w:rsid w:val="00F26CB0"/>
    <w:rsid w:val="00F535E9"/>
    <w:rsid w:val="00F80F26"/>
    <w:rsid w:val="00FC0907"/>
    <w:rsid w:val="00FE4681"/>
    <w:rsid w:val="00FE5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6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C9A"/>
    <w:pPr>
      <w:ind w:left="720"/>
      <w:contextualSpacing/>
    </w:pPr>
  </w:style>
  <w:style w:type="paragraph" w:styleId="a4">
    <w:name w:val="header"/>
    <w:basedOn w:val="a"/>
    <w:link w:val="a5"/>
    <w:uiPriority w:val="99"/>
    <w:unhideWhenUsed/>
    <w:rsid w:val="004235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235FE"/>
  </w:style>
  <w:style w:type="paragraph" w:styleId="a6">
    <w:name w:val="footer"/>
    <w:basedOn w:val="a"/>
    <w:link w:val="a7"/>
    <w:uiPriority w:val="99"/>
    <w:unhideWhenUsed/>
    <w:rsid w:val="004235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35FE"/>
  </w:style>
  <w:style w:type="paragraph" w:styleId="a8">
    <w:name w:val="Balloon Text"/>
    <w:basedOn w:val="a"/>
    <w:link w:val="a9"/>
    <w:uiPriority w:val="99"/>
    <w:semiHidden/>
    <w:unhideWhenUsed/>
    <w:rsid w:val="00832B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2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D1988-C877-4E86-95B7-3F5A164A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4633</Words>
  <Characters>26411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Miskrada</cp:lastModifiedBy>
  <cp:revision>10</cp:revision>
  <dcterms:created xsi:type="dcterms:W3CDTF">2026-04-23T07:45:00Z</dcterms:created>
  <dcterms:modified xsi:type="dcterms:W3CDTF">2026-04-28T07:41:00Z</dcterms:modified>
</cp:coreProperties>
</file>