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DE" w:rsidRDefault="003D44DE" w:rsidP="003D44D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eastAsia="uk-UA"/>
        </w:rPr>
        <w:drawing>
          <wp:inline distT="0" distB="0" distL="0" distR="0" wp14:anchorId="125D5B9F" wp14:editId="2290AFA4">
            <wp:extent cx="432000" cy="608400"/>
            <wp:effectExtent l="0" t="0" r="635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4DE" w:rsidRPr="00BD0FA4" w:rsidRDefault="003D44DE" w:rsidP="003D44DE">
      <w:pPr>
        <w:pStyle w:val="a7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 w:rsidRPr="00BD0FA4">
        <w:rPr>
          <w:b/>
          <w:bCs/>
          <w:color w:val="44546A" w:themeColor="text2"/>
          <w:sz w:val="28"/>
          <w:szCs w:val="28"/>
          <w:lang w:val="uk-UA"/>
        </w:rPr>
        <w:t>БІЛГОРОД-ДНІСТРОВСЬКА МІСЬКА РАДА</w:t>
      </w:r>
    </w:p>
    <w:p w:rsidR="003D44DE" w:rsidRDefault="003D44DE" w:rsidP="003D44DE">
      <w:pPr>
        <w:pStyle w:val="a7"/>
        <w:jc w:val="center"/>
        <w:rPr>
          <w:b/>
          <w:bCs/>
          <w:color w:val="44546A" w:themeColor="text2"/>
          <w:sz w:val="28"/>
          <w:szCs w:val="28"/>
          <w:lang w:val="uk-UA"/>
        </w:rPr>
      </w:pPr>
    </w:p>
    <w:p w:rsidR="003D44DE" w:rsidRPr="00BD0FA4" w:rsidRDefault="003D44DE" w:rsidP="003D44DE">
      <w:pPr>
        <w:pStyle w:val="a7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>
        <w:rPr>
          <w:b/>
          <w:bCs/>
          <w:color w:val="44546A" w:themeColor="text2"/>
          <w:sz w:val="28"/>
          <w:szCs w:val="28"/>
          <w:lang w:val="uk-UA"/>
        </w:rPr>
        <w:t xml:space="preserve">П Р О Є К Т   Р І Ш Е Н </w:t>
      </w:r>
      <w:proofErr w:type="spellStart"/>
      <w:r>
        <w:rPr>
          <w:b/>
          <w:bCs/>
          <w:color w:val="44546A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44546A" w:themeColor="text2"/>
          <w:sz w:val="28"/>
          <w:szCs w:val="28"/>
          <w:lang w:val="uk-UA"/>
        </w:rPr>
        <w:t xml:space="preserve"> Я</w:t>
      </w:r>
    </w:p>
    <w:p w:rsidR="003D44DE" w:rsidRPr="00C4146F" w:rsidRDefault="003D44DE" w:rsidP="003D44DE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88" w:type="dxa"/>
        <w:tblInd w:w="-142" w:type="dxa"/>
        <w:tblLook w:val="04A0" w:firstRow="1" w:lastRow="0" w:firstColumn="1" w:lastColumn="0" w:noHBand="0" w:noVBand="1"/>
      </w:tblPr>
      <w:tblGrid>
        <w:gridCol w:w="29"/>
        <w:gridCol w:w="519"/>
        <w:gridCol w:w="2105"/>
        <w:gridCol w:w="2360"/>
        <w:gridCol w:w="1771"/>
        <w:gridCol w:w="445"/>
        <w:gridCol w:w="2659"/>
      </w:tblGrid>
      <w:tr w:rsidR="003D44DE" w:rsidTr="00A91ECB">
        <w:trPr>
          <w:gridBefore w:val="1"/>
          <w:wBefore w:w="29" w:type="dxa"/>
        </w:trPr>
        <w:tc>
          <w:tcPr>
            <w:tcW w:w="519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05" w:type="dxa"/>
          </w:tcPr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3AEE7FE" wp14:editId="0806C4B5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ED1AB" id="Пряма сполучна лінія 13190484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31" w:type="dxa"/>
            <w:gridSpan w:val="2"/>
          </w:tcPr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59" w:type="dxa"/>
          </w:tcPr>
          <w:p w:rsidR="003D44DE" w:rsidRPr="002F3980" w:rsidRDefault="003D44DE" w:rsidP="002C5980">
            <w:pPr>
              <w:pStyle w:val="a7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6B50788" wp14:editId="69EEB396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E43A0" id="Пряма сполучна лінія 8048130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56C70C4" wp14:editId="2C2EB891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56D3A" id="Пряма сполучна ліні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</w:tr>
      <w:tr w:rsidR="003D44DE" w:rsidTr="00A91ECB">
        <w:tblPrEx>
          <w:tblLook w:val="0000" w:firstRow="0" w:lastRow="0" w:firstColumn="0" w:lastColumn="0" w:noHBand="0" w:noVBand="0"/>
        </w:tblPrEx>
        <w:trPr>
          <w:gridAfter w:val="3"/>
          <w:wAfter w:w="4875" w:type="dxa"/>
          <w:trHeight w:val="1049"/>
        </w:trPr>
        <w:tc>
          <w:tcPr>
            <w:tcW w:w="5013" w:type="dxa"/>
            <w:gridSpan w:val="4"/>
          </w:tcPr>
          <w:p w:rsidR="00A91ECB" w:rsidRDefault="00A91ECB" w:rsidP="003D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5" w:name="_Hlk218171055"/>
          </w:p>
          <w:p w:rsidR="003D44DE" w:rsidRPr="000A0975" w:rsidRDefault="003D44DE" w:rsidP="003D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</w:t>
            </w:r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передач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праві </w:t>
            </w:r>
            <w:proofErr w:type="spellStart"/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узуфрукта</w:t>
            </w:r>
            <w:proofErr w:type="spellEnd"/>
            <w:r w:rsidRPr="000A09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1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комунального майна</w:t>
            </w:r>
            <w:r w:rsidR="00A91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1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частини нежитлових приміщень</w:t>
            </w:r>
            <w:r w:rsidR="00A91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вул. Ми</w:t>
            </w:r>
            <w:r w:rsidR="00E61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колаївськ</w:t>
            </w:r>
            <w:r w:rsidR="002D7F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A91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E61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A91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D44DE" w:rsidRPr="00BD0FA4" w:rsidRDefault="003D44DE" w:rsidP="002C5980">
            <w:pPr>
              <w:pStyle w:val="a7"/>
              <w:rPr>
                <w:lang w:val="uk-UA"/>
              </w:rPr>
            </w:pPr>
          </w:p>
        </w:tc>
      </w:tr>
    </w:tbl>
    <w:bookmarkEnd w:id="35"/>
    <w:p w:rsidR="000A0975" w:rsidRPr="000A0975" w:rsidRDefault="00A91ECB" w:rsidP="00177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заяву </w:t>
      </w:r>
      <w:r w:rsidR="002E0BB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НЕКОМЕРЦІЙНОГО ПІДПРИЄМСТВА «ТЕЛЕРАДІОКОМПАНІЯ «ПЕРШИЙ МУНІЦИПАЛЬНИЙ КАНАЛ»</w:t>
      </w:r>
      <w:r w:rsidR="001A3A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9290A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99290A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9929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 р.</w:t>
      </w:r>
      <w:r w:rsid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>вх</w:t>
      </w:r>
      <w:proofErr w:type="spellEnd"/>
      <w:r w:rsid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>. 02-15/33/3450 від 30.04.2026 р.)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передачі на праві </w:t>
      </w:r>
      <w:proofErr w:type="spellStart"/>
      <w:r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майна </w:t>
      </w:r>
      <w:r w:rsidR="0099290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частини нежитлових приміщень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вул. Ми</w:t>
      </w:r>
      <w:r w:rsidR="009929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колаївській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290A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F67A4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36" w:name="_GoBack"/>
      <w:bookmarkEnd w:id="36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 Білгород</w:t>
      </w:r>
      <w:r w:rsidR="0099290A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-Дністровськ</w:t>
      </w:r>
      <w:r w:rsidR="0099290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Білгород-Дністровського району Одеської області, керуючись </w:t>
      </w:r>
      <w:r w:rsidR="00547E50">
        <w:rPr>
          <w:i/>
          <w:iCs/>
          <w:color w:val="333333"/>
          <w:shd w:val="clear" w:color="auto" w:fill="FFFFFF"/>
        </w:rPr>
        <w:t> 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</w:t>
      </w:r>
      <w:r w:rsidR="0099290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7750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547E5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7E50" w:rsidRPr="00547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ою</w:t>
      </w:r>
      <w:r w:rsidR="00547E50" w:rsidRPr="00547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ою</w:t>
      </w:r>
      <w:r w:rsidR="00547E50" w:rsidRPr="00547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26,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«Про державну реєстрацію речових прав на нерухоме майно та їх обтяжень», Поряд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передачі державного та комунального майна на праві </w:t>
      </w:r>
      <w:proofErr w:type="spellStart"/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 р. № 1103,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частиною п’яту статті 60,  статтю  </w:t>
      </w:r>
      <w:r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Pr="000A09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,</w:t>
      </w:r>
      <w:r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частиною другою статті 42, статтею 25,  пунктом 3</w:t>
      </w:r>
      <w:r w:rsidR="00E55A2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A0975" w:rsidRPr="000A0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першої статті 26, Закону України «Про місцеве самоврядування в Україні», міська рада</w:t>
      </w:r>
    </w:p>
    <w:p w:rsidR="000A0975" w:rsidRPr="000A0975" w:rsidRDefault="000A0975" w:rsidP="000A0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FE4" w:rsidRDefault="000A0975" w:rsidP="006D3FE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09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6D3FE4" w:rsidRDefault="006D3FE4" w:rsidP="006D3FE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3FE4" w:rsidRPr="002D7F3B" w:rsidRDefault="0099290A" w:rsidP="002D7F3B">
      <w:pPr>
        <w:pStyle w:val="a3"/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Встановити право </w:t>
      </w:r>
      <w:proofErr w:type="spellStart"/>
      <w:r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майна</w:t>
      </w:r>
      <w:r w:rsidR="000A0975"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0BB8"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КОМУНАЛЬНОМУ НЕКОМЕРЦІЙНОМУ ПІДПРИЄМСТВУ «ТЕЛЕРАДІОКОМПАНІЯ «ПЕРШИЙ МУНІЦИПАЛЬНИЙ КАНАЛ»</w:t>
      </w:r>
      <w:r w:rsidR="000A0975"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(код ЄДРПОУ – </w:t>
      </w:r>
      <w:r w:rsidR="005132DF"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>46068358</w:t>
      </w:r>
      <w:r w:rsidR="000A0975"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частини нежитлових приміщень </w:t>
      </w:r>
      <w:r w:rsidR="002D7F3B"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№ 41 по № 50, № 55 літ. «А», загальною площею 141,6 </w:t>
      </w:r>
      <w:proofErr w:type="spellStart"/>
      <w:r w:rsidR="002D7F3B"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2D7F3B"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 </w:t>
      </w:r>
      <w:proofErr w:type="spellStart"/>
      <w:r w:rsidR="002D7F3B"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2D7F3B"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>: Одеська область, Білгород-Дністровський район, м. Білгород-Дністровський, вул. Миколаївська, буд. 30</w:t>
      </w:r>
      <w:r w:rsid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зі складу об’єкта нерухомого майна </w:t>
      </w:r>
      <w:r w:rsidR="005132DF"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комунальної власності з реєстраційним номером 573</w:t>
      </w:r>
      <w:r w:rsidR="006D3FE4" w:rsidRP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>64651103</w:t>
      </w:r>
      <w:r w:rsidR="002D7F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7227F" w:rsidRPr="006D3FE4" w:rsidRDefault="006D3FE4" w:rsidP="006D3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 </w:t>
      </w:r>
      <w:r w:rsidR="000A097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Встановити, що зазначене в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ункті</w:t>
      </w:r>
      <w:r w:rsidR="000A097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7DD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A097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цього рішення комунальне майно передається на праві </w:t>
      </w:r>
      <w:proofErr w:type="spellStart"/>
      <w:r w:rsidR="000A0975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="00D7227F" w:rsidRPr="0028458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7227F" w:rsidRPr="006D3FE4" w:rsidRDefault="006D3FE4" w:rsidP="006D3F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2.1. </w:t>
      </w:r>
      <w:r w:rsidR="00D7227F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цільовим призначенням використання майна для забезпечення виконання статутних завдань </w:t>
      </w:r>
      <w:r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 НЕКОМЕРЦІЙНОГО ПІДПРИЄМСТВА «ТЕЛЕРАДІОКОМПАНІЯ «ПЕРШИЙ МУНІЦИПАЛЬНИЙ КАНАЛ»</w:t>
      </w:r>
      <w:r w:rsidR="00D7227F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7227F" w:rsidRPr="006D3FE4" w:rsidRDefault="006D3FE4" w:rsidP="006D3F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2.2. </w:t>
      </w:r>
      <w:r w:rsidR="00D7227F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з правом отримання плодів, продукції і доходів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користування таким майном;</w:t>
      </w:r>
    </w:p>
    <w:p w:rsidR="00D7227F" w:rsidRPr="006D3FE4" w:rsidRDefault="006D3FE4" w:rsidP="006D3F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2.3. </w:t>
      </w:r>
      <w:r w:rsidR="00D7227F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безстроково, з правом володіння і користування комунальним майном, без права відчуження майна переданого на праві </w:t>
      </w:r>
      <w:proofErr w:type="spellStart"/>
      <w:r w:rsidR="00D7227F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="00D7227F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без права передавати його у довічну власність або довічне управління, вносити його до статутного капіталу юридичних осіб, виділяти його для спільної діяльності, а також не може вчиняти щодо </w:t>
      </w:r>
      <w:r w:rsidR="00D7227F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такого майна інші дії, наслідком яких може бути його відчуження або зміна цільового призначення.</w:t>
      </w:r>
    </w:p>
    <w:p w:rsidR="006F3DAD" w:rsidRPr="006D3FE4" w:rsidRDefault="006D3FE4" w:rsidP="006D3F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</w:t>
      </w:r>
      <w:r w:rsidR="00EE0039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 </w:t>
      </w:r>
      <w:proofErr w:type="spellStart"/>
      <w:r w:rsidR="00EE0039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="00EE0039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майна встановлене пунктом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E0039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цього рішення може бути припинено рішенням сесії Білгород-Дністровської міської ради з власної ініціативи власника майна або з ініціативи  </w:t>
      </w:r>
      <w:proofErr w:type="spellStart"/>
      <w:r w:rsidR="00EE0039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узуфруктарія</w:t>
      </w:r>
      <w:proofErr w:type="spellEnd"/>
      <w:r w:rsidR="00EE0039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також у інших випадках передбачених законодавством.</w:t>
      </w:r>
    </w:p>
    <w:p w:rsidR="005500A2" w:rsidRPr="006D3FE4" w:rsidRDefault="006D3FE4" w:rsidP="006D3F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4. </w:t>
      </w:r>
      <w:r w:rsidR="006F3DAD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Зобов’язати </w:t>
      </w:r>
      <w:r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НЕКОМЕРЦІЙНЕ ПІДПРИЄМСТВО «ТЕЛЕРАДІОКОМПАНІЯ «ПЕРШИЙ МУНІЦИПАЛЬНИЙ КАНАЛ»</w:t>
      </w:r>
      <w:r w:rsidR="00390DF0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1165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DAD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протягом місяця з моменту прийняття цього рішення вжити в установленому порядку заходи з проведення державної реєстрації права </w:t>
      </w:r>
      <w:proofErr w:type="spellStart"/>
      <w:r w:rsidR="006F3DAD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узуфрукта</w:t>
      </w:r>
      <w:proofErr w:type="spellEnd"/>
      <w:r w:rsidR="006F3DAD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майна, відповідно до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пункту</w:t>
      </w:r>
      <w:r w:rsidR="006F3DAD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0DF0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F3DAD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цього рішення</w:t>
      </w:r>
      <w:r w:rsidR="00EB3EBA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DAD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bookmarkStart w:id="37" w:name="n54"/>
      <w:bookmarkEnd w:id="37"/>
      <w:r w:rsidR="00EB3EBA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врахувати його на балансовому </w:t>
      </w:r>
      <w:r w:rsidR="006F3DAD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обліку</w:t>
      </w:r>
      <w:r w:rsidR="005500A2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A7114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A7114" w:rsidRPr="006D3FE4" w:rsidRDefault="006D3FE4" w:rsidP="006D3F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05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FA7114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Зобов’язати </w:t>
      </w:r>
      <w:r w:rsidR="009054C3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</w:t>
      </w:r>
      <w:r w:rsidR="009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Е НЕКОМЕРЦІЙНЕ ПІДПРИЄМСТВО «ТЕЛЕРАДІОКОМПАНІЯ «ПЕРШИЙ МУНІЦИПАЛЬНИЙ КАНАЛ»</w:t>
      </w:r>
      <w:r w:rsidR="003A1165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7114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щорічно подавати до Білгород-Дністровської міської ради станом на 31 грудня звітного року письмовий звіт про використання  переданого майна за формою затвердженою Кабінетом Міністрів України. </w:t>
      </w:r>
    </w:p>
    <w:p w:rsidR="005500A2" w:rsidRPr="006D3FE4" w:rsidRDefault="009054C3" w:rsidP="006D3F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6. </w:t>
      </w:r>
      <w:r w:rsidR="000A0975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0A0975" w:rsidRPr="006D3FE4" w:rsidRDefault="009054C3" w:rsidP="006D3F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7. </w:t>
      </w:r>
      <w:r w:rsidR="000A0975" w:rsidRPr="006D3FE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МОРОЗОВ).</w:t>
      </w:r>
    </w:p>
    <w:p w:rsidR="000A0975" w:rsidRPr="00E975D2" w:rsidRDefault="000A0975" w:rsidP="009054C3">
      <w:pPr>
        <w:pStyle w:val="a3"/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0975" w:rsidRPr="00BE0FE2" w:rsidRDefault="000A0975" w:rsidP="009054C3">
      <w:pPr>
        <w:pStyle w:val="a3"/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="00E975D2" w:rsidRPr="00BE0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BE0F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BE0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підготовлено</w:t>
      </w:r>
    </w:p>
    <w:p w:rsidR="00D77CEC" w:rsidRPr="009054C3" w:rsidRDefault="000A0975" w:rsidP="009054C3">
      <w:pPr>
        <w:tabs>
          <w:tab w:val="num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Управлінням комунальної власності</w:t>
      </w:r>
    </w:p>
    <w:sectPr w:rsidR="00D77CEC" w:rsidRPr="009054C3" w:rsidSect="00BE0FE2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7134"/>
    <w:multiLevelType w:val="multilevel"/>
    <w:tmpl w:val="FAD68E1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230072ED"/>
    <w:multiLevelType w:val="hybridMultilevel"/>
    <w:tmpl w:val="57F0F9F0"/>
    <w:lvl w:ilvl="0" w:tplc="0FF4648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74D0427"/>
    <w:multiLevelType w:val="hybridMultilevel"/>
    <w:tmpl w:val="DFB83E88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7FC92234"/>
    <w:multiLevelType w:val="hybridMultilevel"/>
    <w:tmpl w:val="CCE02404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75"/>
    <w:rsid w:val="0005290B"/>
    <w:rsid w:val="000A0975"/>
    <w:rsid w:val="000B7EB1"/>
    <w:rsid w:val="000C2580"/>
    <w:rsid w:val="00177505"/>
    <w:rsid w:val="00187085"/>
    <w:rsid w:val="001A3AD2"/>
    <w:rsid w:val="0020533E"/>
    <w:rsid w:val="002359DD"/>
    <w:rsid w:val="0028458F"/>
    <w:rsid w:val="002D7F3B"/>
    <w:rsid w:val="002E0BB8"/>
    <w:rsid w:val="003179BC"/>
    <w:rsid w:val="00390DF0"/>
    <w:rsid w:val="003A1165"/>
    <w:rsid w:val="003C7009"/>
    <w:rsid w:val="003D44DE"/>
    <w:rsid w:val="00460B88"/>
    <w:rsid w:val="0046511F"/>
    <w:rsid w:val="004E3DB2"/>
    <w:rsid w:val="004F52CC"/>
    <w:rsid w:val="005132DF"/>
    <w:rsid w:val="00547E50"/>
    <w:rsid w:val="005500A2"/>
    <w:rsid w:val="0069225C"/>
    <w:rsid w:val="006D3FE4"/>
    <w:rsid w:val="006F3DAD"/>
    <w:rsid w:val="00724F24"/>
    <w:rsid w:val="00741B37"/>
    <w:rsid w:val="007903B0"/>
    <w:rsid w:val="007C14FA"/>
    <w:rsid w:val="007C40A2"/>
    <w:rsid w:val="00817EF3"/>
    <w:rsid w:val="00861810"/>
    <w:rsid w:val="008C15EB"/>
    <w:rsid w:val="009054C3"/>
    <w:rsid w:val="0099290A"/>
    <w:rsid w:val="00A0023C"/>
    <w:rsid w:val="00A055BD"/>
    <w:rsid w:val="00A91ECB"/>
    <w:rsid w:val="00AD5DE5"/>
    <w:rsid w:val="00AD6D2A"/>
    <w:rsid w:val="00B204E6"/>
    <w:rsid w:val="00BE0FE2"/>
    <w:rsid w:val="00C006A7"/>
    <w:rsid w:val="00C825EF"/>
    <w:rsid w:val="00D17DDC"/>
    <w:rsid w:val="00D61372"/>
    <w:rsid w:val="00D7227F"/>
    <w:rsid w:val="00D86526"/>
    <w:rsid w:val="00E41B6A"/>
    <w:rsid w:val="00E55A25"/>
    <w:rsid w:val="00E6152A"/>
    <w:rsid w:val="00E975D2"/>
    <w:rsid w:val="00EB3EBA"/>
    <w:rsid w:val="00EE0039"/>
    <w:rsid w:val="00EE0C02"/>
    <w:rsid w:val="00F60F75"/>
    <w:rsid w:val="00F67A4F"/>
    <w:rsid w:val="00F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496F"/>
  <w15:chartTrackingRefBased/>
  <w15:docId w15:val="{B2B63AA3-CE66-4468-AC58-6F505DD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27F"/>
    <w:pPr>
      <w:ind w:left="720"/>
      <w:contextualSpacing/>
    </w:pPr>
  </w:style>
  <w:style w:type="paragraph" w:customStyle="1" w:styleId="rvps2">
    <w:name w:val="rvps2"/>
    <w:basedOn w:val="a"/>
    <w:rsid w:val="000C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C2580"/>
  </w:style>
  <w:style w:type="character" w:styleId="a4">
    <w:name w:val="Hyperlink"/>
    <w:basedOn w:val="a0"/>
    <w:uiPriority w:val="99"/>
    <w:semiHidden/>
    <w:unhideWhenUsed/>
    <w:rsid w:val="00AD5DE5"/>
    <w:rPr>
      <w:color w:val="0000FF"/>
      <w:u w:val="single"/>
    </w:rPr>
  </w:style>
  <w:style w:type="character" w:customStyle="1" w:styleId="rvts46">
    <w:name w:val="rvts46"/>
    <w:basedOn w:val="a0"/>
    <w:rsid w:val="00AD5DE5"/>
  </w:style>
  <w:style w:type="character" w:customStyle="1" w:styleId="20">
    <w:name w:val="Заголовок 2 Знак"/>
    <w:basedOn w:val="a0"/>
    <w:link w:val="2"/>
    <w:uiPriority w:val="9"/>
    <w:semiHidden/>
    <w:rsid w:val="004F52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41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B3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D44DE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9327D-A2F9-4709-AED9-DA9BBB9A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2026-02-09T12:40:00Z</cp:lastPrinted>
  <dcterms:created xsi:type="dcterms:W3CDTF">2026-05-05T12:59:00Z</dcterms:created>
  <dcterms:modified xsi:type="dcterms:W3CDTF">2026-05-08T07:57:00Z</dcterms:modified>
</cp:coreProperties>
</file>