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23" w:rsidRPr="00F35BCA" w:rsidRDefault="00377C23" w:rsidP="00377C2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23" w:rsidRPr="00F35BCA" w:rsidRDefault="00377C23" w:rsidP="00377C23">
      <w:r w:rsidRPr="00F35BCA">
        <w:rPr>
          <w:rFonts w:ascii="Arial" w:hAnsi="Arial" w:cs="Arial"/>
          <w:sz w:val="18"/>
          <w:szCs w:val="18"/>
        </w:rPr>
        <w:br/>
      </w:r>
    </w:p>
    <w:p w:rsidR="00377C23" w:rsidRDefault="00377C23" w:rsidP="00377C2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817</w:t>
      </w:r>
    </w:p>
    <w:p w:rsidR="004736FC" w:rsidRPr="004736FC" w:rsidRDefault="004736FC" w:rsidP="004736FC">
      <w:pPr>
        <w:jc w:val="both"/>
        <w:rPr>
          <w:sz w:val="28"/>
          <w:szCs w:val="28"/>
          <w:lang w:val="ru-RU"/>
        </w:rPr>
      </w:pPr>
      <w:r w:rsidRPr="004736FC">
        <w:rPr>
          <w:sz w:val="28"/>
          <w:szCs w:val="28"/>
          <w:lang w:val="ru-RU"/>
        </w:rPr>
        <w:t>28</w:t>
      </w:r>
      <w:r w:rsidRPr="001C6262">
        <w:rPr>
          <w:sz w:val="28"/>
          <w:szCs w:val="28"/>
        </w:rPr>
        <w:t>.</w:t>
      </w:r>
      <w:r w:rsidRPr="004736FC">
        <w:rPr>
          <w:sz w:val="28"/>
          <w:szCs w:val="28"/>
          <w:lang w:val="ru-RU"/>
        </w:rPr>
        <w:t>10</w:t>
      </w:r>
      <w:r w:rsidRPr="001C6262">
        <w:rPr>
          <w:sz w:val="28"/>
          <w:szCs w:val="28"/>
        </w:rPr>
        <w:t>.2021</w:t>
      </w:r>
    </w:p>
    <w:p w:rsidR="004736FC" w:rsidRPr="004736FC" w:rsidRDefault="004736FC" w:rsidP="004736FC">
      <w:pPr>
        <w:jc w:val="both"/>
        <w:rPr>
          <w:sz w:val="28"/>
          <w:szCs w:val="28"/>
          <w:lang w:val="ru-RU"/>
        </w:rPr>
      </w:pPr>
    </w:p>
    <w:p w:rsidR="004736FC" w:rsidRPr="004736FC" w:rsidRDefault="004736FC" w:rsidP="004736FC">
      <w:pPr>
        <w:rPr>
          <w:rFonts w:ascii="Times New Roman" w:hAnsi="Times New Roman"/>
          <w:sz w:val="28"/>
          <w:szCs w:val="28"/>
        </w:rPr>
      </w:pPr>
      <w:r w:rsidRPr="004736FC">
        <w:rPr>
          <w:rFonts w:ascii="Times New Roman" w:hAnsi="Times New Roman"/>
          <w:sz w:val="28"/>
          <w:szCs w:val="28"/>
        </w:rPr>
        <w:t xml:space="preserve">Про затвердження складу Громадської ради </w:t>
      </w:r>
    </w:p>
    <w:p w:rsidR="004736FC" w:rsidRPr="004736FC" w:rsidRDefault="004736FC" w:rsidP="00FD269B">
      <w:pPr>
        <w:rPr>
          <w:rFonts w:ascii="Times New Roman" w:hAnsi="Times New Roman"/>
          <w:sz w:val="28"/>
          <w:szCs w:val="28"/>
        </w:rPr>
      </w:pPr>
      <w:r w:rsidRPr="004736FC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4736FC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736FC">
        <w:rPr>
          <w:rFonts w:ascii="Times New Roman" w:hAnsi="Times New Roman"/>
          <w:sz w:val="28"/>
          <w:szCs w:val="28"/>
        </w:rPr>
        <w:t xml:space="preserve"> міській раді</w:t>
      </w:r>
    </w:p>
    <w:p w:rsidR="004736FC" w:rsidRPr="004736FC" w:rsidRDefault="004736FC" w:rsidP="00FD269B">
      <w:pPr>
        <w:ind w:firstLine="707"/>
        <w:jc w:val="both"/>
        <w:rPr>
          <w:rFonts w:ascii="Times New Roman" w:hAnsi="Times New Roman"/>
          <w:sz w:val="28"/>
          <w:szCs w:val="28"/>
        </w:rPr>
      </w:pPr>
      <w:r w:rsidRPr="004736FC">
        <w:rPr>
          <w:rFonts w:ascii="Times New Roman" w:hAnsi="Times New Roman"/>
          <w:sz w:val="28"/>
          <w:szCs w:val="28"/>
        </w:rPr>
        <w:t xml:space="preserve"> З метою забезпечення участі громадськості у формуванні та реалізації державної політики у сфері громадсько-політичного, соціально-економічного життя </w:t>
      </w:r>
      <w:proofErr w:type="spellStart"/>
      <w:r w:rsidRPr="004736F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736FC">
        <w:rPr>
          <w:rFonts w:ascii="Times New Roman" w:hAnsi="Times New Roman"/>
          <w:sz w:val="28"/>
          <w:szCs w:val="28"/>
        </w:rPr>
        <w:t xml:space="preserve"> територіальної громади, враховуючи протокол установчих зборів за участю інститутів громадянського суспільства по формуванню складу Громадської ради при </w:t>
      </w:r>
      <w:proofErr w:type="spellStart"/>
      <w:r w:rsidRPr="004736FC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736FC">
        <w:rPr>
          <w:rFonts w:ascii="Times New Roman" w:hAnsi="Times New Roman"/>
          <w:sz w:val="28"/>
          <w:szCs w:val="28"/>
        </w:rPr>
        <w:t xml:space="preserve"> міській раді від 28.09.2021, відповідно до постанови Кабінету Міністрів України від 03.11.2010 №996 «Про забезпечення участі громадськості у формуванні та реалізації державної політики» , </w:t>
      </w:r>
      <w:r w:rsidRPr="004736FC">
        <w:rPr>
          <w:rFonts w:ascii="Times New Roman" w:hAnsi="Times New Roman"/>
          <w:sz w:val="28"/>
          <w:szCs w:val="28"/>
          <w:lang w:val="en-US"/>
        </w:rPr>
        <w:t>XIII</w:t>
      </w:r>
      <w:r w:rsidRPr="004736FC">
        <w:rPr>
          <w:rFonts w:ascii="Times New Roman" w:hAnsi="Times New Roman"/>
          <w:sz w:val="28"/>
          <w:szCs w:val="28"/>
        </w:rPr>
        <w:t xml:space="preserve"> сесія </w:t>
      </w:r>
      <w:r w:rsidRPr="004736FC">
        <w:rPr>
          <w:rFonts w:ascii="Times New Roman" w:hAnsi="Times New Roman"/>
          <w:sz w:val="28"/>
          <w:szCs w:val="28"/>
          <w:lang w:val="en-US"/>
        </w:rPr>
        <w:t>VII</w:t>
      </w:r>
      <w:r w:rsidRPr="004736FC">
        <w:rPr>
          <w:rFonts w:ascii="Times New Roman" w:hAnsi="Times New Roman"/>
          <w:sz w:val="28"/>
          <w:szCs w:val="28"/>
        </w:rPr>
        <w:t xml:space="preserve">І демократичного скликання </w:t>
      </w:r>
      <w:proofErr w:type="spellStart"/>
      <w:r w:rsidRPr="004736F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736FC">
        <w:rPr>
          <w:rFonts w:ascii="Times New Roman" w:hAnsi="Times New Roman"/>
          <w:sz w:val="28"/>
          <w:szCs w:val="28"/>
        </w:rPr>
        <w:t xml:space="preserve"> міської ради</w:t>
      </w:r>
    </w:p>
    <w:p w:rsidR="004736FC" w:rsidRPr="004736FC" w:rsidRDefault="004736FC" w:rsidP="004736FC">
      <w:pPr>
        <w:jc w:val="both"/>
        <w:rPr>
          <w:rFonts w:ascii="Times New Roman" w:hAnsi="Times New Roman"/>
          <w:sz w:val="28"/>
          <w:szCs w:val="28"/>
        </w:rPr>
      </w:pPr>
      <w:r w:rsidRPr="004736FC">
        <w:rPr>
          <w:rFonts w:ascii="Times New Roman" w:hAnsi="Times New Roman"/>
          <w:sz w:val="28"/>
          <w:szCs w:val="28"/>
        </w:rPr>
        <w:t>В И Р І Ш И Л А:</w:t>
      </w:r>
    </w:p>
    <w:p w:rsidR="004736FC" w:rsidRPr="004736FC" w:rsidRDefault="004736FC" w:rsidP="004736FC">
      <w:pPr>
        <w:pStyle w:val="a6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4736FC">
        <w:rPr>
          <w:sz w:val="28"/>
          <w:szCs w:val="28"/>
          <w:lang w:val="uk-UA"/>
        </w:rPr>
        <w:t xml:space="preserve">1. Затвердити склад Громадської ради при </w:t>
      </w:r>
      <w:proofErr w:type="spellStart"/>
      <w:r w:rsidRPr="004736FC">
        <w:rPr>
          <w:sz w:val="28"/>
          <w:szCs w:val="28"/>
          <w:lang w:val="uk-UA"/>
        </w:rPr>
        <w:t>Новороздільській</w:t>
      </w:r>
      <w:proofErr w:type="spellEnd"/>
      <w:r w:rsidRPr="004736FC">
        <w:rPr>
          <w:sz w:val="28"/>
          <w:szCs w:val="28"/>
          <w:lang w:val="uk-UA"/>
        </w:rPr>
        <w:t xml:space="preserve"> міській раді (далі – Громадська рада) згідно з додатком.</w:t>
      </w:r>
    </w:p>
    <w:p w:rsidR="004736FC" w:rsidRPr="004736FC" w:rsidRDefault="004736FC" w:rsidP="004736FC">
      <w:pPr>
        <w:pStyle w:val="a6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4736FC">
        <w:rPr>
          <w:sz w:val="28"/>
          <w:szCs w:val="28"/>
          <w:lang w:val="uk-UA"/>
        </w:rPr>
        <w:t xml:space="preserve">2. Відділу інформаційно-технічного забезпечення та зв’язків з громадськістю сприяти висвітленню діяльності Громадської ради на офіційному </w:t>
      </w:r>
      <w:proofErr w:type="spellStart"/>
      <w:r w:rsidRPr="004736FC">
        <w:rPr>
          <w:sz w:val="28"/>
          <w:szCs w:val="28"/>
          <w:lang w:val="uk-UA"/>
        </w:rPr>
        <w:t>веб-сайті</w:t>
      </w:r>
      <w:proofErr w:type="spellEnd"/>
      <w:r w:rsidRPr="004736FC">
        <w:rPr>
          <w:sz w:val="28"/>
          <w:szCs w:val="28"/>
          <w:lang w:val="uk-UA"/>
        </w:rPr>
        <w:t xml:space="preserve"> </w:t>
      </w:r>
      <w:proofErr w:type="spellStart"/>
      <w:r w:rsidRPr="004736FC">
        <w:rPr>
          <w:sz w:val="28"/>
          <w:szCs w:val="28"/>
          <w:lang w:val="uk-UA"/>
        </w:rPr>
        <w:t>Новороздільської</w:t>
      </w:r>
      <w:proofErr w:type="spellEnd"/>
      <w:r w:rsidRPr="004736FC">
        <w:rPr>
          <w:sz w:val="28"/>
          <w:szCs w:val="28"/>
          <w:lang w:val="uk-UA"/>
        </w:rPr>
        <w:t xml:space="preserve"> міської ради.</w:t>
      </w:r>
    </w:p>
    <w:p w:rsidR="004736FC" w:rsidRPr="004736FC" w:rsidRDefault="004736FC" w:rsidP="004736FC">
      <w:pPr>
        <w:pStyle w:val="a6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4736FC">
        <w:rPr>
          <w:sz w:val="28"/>
          <w:szCs w:val="28"/>
          <w:lang w:val="uk-UA"/>
        </w:rPr>
        <w:t xml:space="preserve">3. Контроль за виконанням цього рішення покласти на </w:t>
      </w:r>
      <w:proofErr w:type="spellStart"/>
      <w:r w:rsidRPr="004736FC">
        <w:rPr>
          <w:sz w:val="28"/>
          <w:szCs w:val="28"/>
        </w:rPr>
        <w:t>комісію</w:t>
      </w:r>
      <w:proofErr w:type="spellEnd"/>
      <w:r w:rsidRPr="004736FC">
        <w:rPr>
          <w:sz w:val="28"/>
          <w:szCs w:val="28"/>
        </w:rPr>
        <w:t xml:space="preserve"> </w:t>
      </w:r>
      <w:proofErr w:type="spellStart"/>
      <w:r w:rsidRPr="004736FC">
        <w:rPr>
          <w:sz w:val="28"/>
          <w:szCs w:val="28"/>
        </w:rPr>
        <w:t>з</w:t>
      </w:r>
      <w:proofErr w:type="spellEnd"/>
      <w:r w:rsidRPr="004736FC">
        <w:rPr>
          <w:sz w:val="28"/>
          <w:szCs w:val="28"/>
        </w:rPr>
        <w:t xml:space="preserve"> </w:t>
      </w:r>
      <w:proofErr w:type="spellStart"/>
      <w:r w:rsidRPr="004736FC">
        <w:rPr>
          <w:sz w:val="28"/>
          <w:szCs w:val="28"/>
        </w:rPr>
        <w:t>питань</w:t>
      </w:r>
      <w:proofErr w:type="spellEnd"/>
      <w:r w:rsidRPr="004736FC">
        <w:rPr>
          <w:sz w:val="28"/>
          <w:szCs w:val="28"/>
        </w:rPr>
        <w:t xml:space="preserve"> Статуту </w:t>
      </w:r>
      <w:proofErr w:type="spellStart"/>
      <w:r w:rsidRPr="004736FC">
        <w:rPr>
          <w:sz w:val="28"/>
          <w:szCs w:val="28"/>
        </w:rPr>
        <w:t>територіальної</w:t>
      </w:r>
      <w:proofErr w:type="spellEnd"/>
      <w:r w:rsidRPr="004736FC">
        <w:rPr>
          <w:sz w:val="28"/>
          <w:szCs w:val="28"/>
        </w:rPr>
        <w:t xml:space="preserve"> </w:t>
      </w:r>
      <w:proofErr w:type="spellStart"/>
      <w:r w:rsidRPr="004736FC">
        <w:rPr>
          <w:sz w:val="28"/>
          <w:szCs w:val="28"/>
        </w:rPr>
        <w:t>громади</w:t>
      </w:r>
      <w:proofErr w:type="spellEnd"/>
      <w:r w:rsidRPr="004736FC">
        <w:rPr>
          <w:sz w:val="28"/>
          <w:szCs w:val="28"/>
        </w:rPr>
        <w:t xml:space="preserve">, регламенту, </w:t>
      </w:r>
      <w:proofErr w:type="spellStart"/>
      <w:r w:rsidRPr="004736FC">
        <w:rPr>
          <w:sz w:val="28"/>
          <w:szCs w:val="28"/>
        </w:rPr>
        <w:t>депутатської</w:t>
      </w:r>
      <w:proofErr w:type="spellEnd"/>
      <w:r w:rsidRPr="004736FC">
        <w:rPr>
          <w:sz w:val="28"/>
          <w:szCs w:val="28"/>
        </w:rPr>
        <w:t xml:space="preserve"> </w:t>
      </w:r>
      <w:proofErr w:type="spellStart"/>
      <w:r w:rsidRPr="004736FC">
        <w:rPr>
          <w:sz w:val="28"/>
          <w:szCs w:val="28"/>
        </w:rPr>
        <w:t>етики</w:t>
      </w:r>
      <w:proofErr w:type="spellEnd"/>
      <w:r w:rsidRPr="004736FC">
        <w:rPr>
          <w:sz w:val="28"/>
          <w:szCs w:val="28"/>
        </w:rPr>
        <w:t xml:space="preserve">, </w:t>
      </w:r>
      <w:proofErr w:type="spellStart"/>
      <w:r w:rsidRPr="004736FC">
        <w:rPr>
          <w:sz w:val="28"/>
          <w:szCs w:val="28"/>
        </w:rPr>
        <w:t>законності</w:t>
      </w:r>
      <w:proofErr w:type="spellEnd"/>
      <w:r w:rsidRPr="004736FC">
        <w:rPr>
          <w:sz w:val="28"/>
          <w:szCs w:val="28"/>
        </w:rPr>
        <w:t xml:space="preserve">, правопорядку та </w:t>
      </w:r>
      <w:proofErr w:type="spellStart"/>
      <w:r w:rsidRPr="004736FC">
        <w:rPr>
          <w:sz w:val="28"/>
          <w:szCs w:val="28"/>
        </w:rPr>
        <w:t>співробітництва</w:t>
      </w:r>
      <w:proofErr w:type="spellEnd"/>
      <w:r w:rsidRPr="004736FC">
        <w:rPr>
          <w:sz w:val="28"/>
          <w:szCs w:val="28"/>
        </w:rPr>
        <w:t xml:space="preserve"> громад (голова </w:t>
      </w:r>
      <w:proofErr w:type="spellStart"/>
      <w:r w:rsidRPr="004736FC">
        <w:rPr>
          <w:sz w:val="28"/>
          <w:szCs w:val="28"/>
        </w:rPr>
        <w:t>Тарнавчик</w:t>
      </w:r>
      <w:proofErr w:type="spellEnd"/>
      <w:r w:rsidRPr="004736FC">
        <w:rPr>
          <w:sz w:val="28"/>
          <w:szCs w:val="28"/>
        </w:rPr>
        <w:t xml:space="preserve"> Н.В.).</w:t>
      </w:r>
    </w:p>
    <w:p w:rsidR="004736FC" w:rsidRPr="004736FC" w:rsidRDefault="004736FC" w:rsidP="004736FC">
      <w:pPr>
        <w:pStyle w:val="a6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</w:p>
    <w:p w:rsidR="004736FC" w:rsidRPr="004736FC" w:rsidRDefault="004736FC" w:rsidP="004736FC">
      <w:pPr>
        <w:shd w:val="clear" w:color="auto" w:fill="FFFFFF"/>
        <w:spacing w:line="269" w:lineRule="exac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736FC" w:rsidRPr="004736FC" w:rsidRDefault="004736FC" w:rsidP="004736FC">
      <w:pPr>
        <w:shd w:val="clear" w:color="auto" w:fill="FFFFFF"/>
        <w:spacing w:line="269" w:lineRule="exact"/>
        <w:ind w:left="709"/>
        <w:rPr>
          <w:rFonts w:ascii="Times New Roman" w:hAnsi="Times New Roman"/>
          <w:sz w:val="28"/>
          <w:szCs w:val="28"/>
        </w:rPr>
        <w:sectPr w:rsidR="004736FC" w:rsidRPr="004736FC" w:rsidSect="009A4EA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4736FC">
        <w:rPr>
          <w:rFonts w:ascii="Times New Roman" w:hAnsi="Times New Roman"/>
          <w:sz w:val="28"/>
          <w:szCs w:val="28"/>
        </w:rPr>
        <w:t>МІСЬКИЙ ГОЛОВА</w:t>
      </w:r>
      <w:r w:rsidRPr="004736FC">
        <w:rPr>
          <w:rFonts w:ascii="Times New Roman" w:hAnsi="Times New Roman"/>
          <w:sz w:val="28"/>
          <w:szCs w:val="28"/>
        </w:rPr>
        <w:tab/>
      </w:r>
      <w:r w:rsidRPr="004736FC">
        <w:rPr>
          <w:rFonts w:ascii="Times New Roman" w:hAnsi="Times New Roman"/>
          <w:sz w:val="28"/>
          <w:szCs w:val="28"/>
        </w:rPr>
        <w:tab/>
      </w:r>
      <w:r w:rsidRPr="004736FC">
        <w:rPr>
          <w:rFonts w:ascii="Times New Roman" w:hAnsi="Times New Roman"/>
          <w:sz w:val="28"/>
          <w:szCs w:val="28"/>
        </w:rPr>
        <w:tab/>
      </w:r>
      <w:r w:rsidRPr="004736FC">
        <w:rPr>
          <w:rFonts w:ascii="Times New Roman" w:hAnsi="Times New Roman"/>
          <w:sz w:val="28"/>
          <w:szCs w:val="28"/>
        </w:rPr>
        <w:tab/>
        <w:t xml:space="preserve">         Ярина ЯЦЕНКО</w:t>
      </w:r>
    </w:p>
    <w:p w:rsidR="004736FC" w:rsidRPr="004736FC" w:rsidRDefault="004736FC" w:rsidP="004736FC">
      <w:pPr>
        <w:ind w:left="5040" w:firstLine="720"/>
        <w:jc w:val="both"/>
        <w:rPr>
          <w:rFonts w:ascii="Times New Roman" w:hAnsi="Times New Roman"/>
          <w:sz w:val="28"/>
          <w:szCs w:val="28"/>
        </w:rPr>
      </w:pPr>
      <w:r w:rsidRPr="004736FC">
        <w:rPr>
          <w:rFonts w:ascii="Times New Roman" w:hAnsi="Times New Roman"/>
          <w:sz w:val="28"/>
          <w:szCs w:val="28"/>
        </w:rPr>
        <w:lastRenderedPageBreak/>
        <w:t xml:space="preserve">                  ЗАТВЕРДЖЕНО</w:t>
      </w:r>
    </w:p>
    <w:p w:rsidR="004736FC" w:rsidRPr="004736FC" w:rsidRDefault="004736FC" w:rsidP="004736FC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4736FC">
        <w:rPr>
          <w:rFonts w:ascii="Times New Roman" w:hAnsi="Times New Roman"/>
          <w:sz w:val="28"/>
          <w:szCs w:val="28"/>
          <w:lang w:val="en-US"/>
        </w:rPr>
        <w:t>XIII</w:t>
      </w:r>
      <w:r w:rsidRPr="004736FC">
        <w:rPr>
          <w:rFonts w:ascii="Times New Roman" w:hAnsi="Times New Roman"/>
          <w:sz w:val="28"/>
          <w:szCs w:val="28"/>
        </w:rPr>
        <w:t xml:space="preserve"> сесією </w:t>
      </w:r>
      <w:proofErr w:type="spellStart"/>
      <w:proofErr w:type="gramStart"/>
      <w:r w:rsidRPr="004736F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736FC">
        <w:rPr>
          <w:rFonts w:ascii="Times New Roman" w:hAnsi="Times New Roman"/>
          <w:sz w:val="28"/>
          <w:szCs w:val="28"/>
        </w:rPr>
        <w:t xml:space="preserve">  міської</w:t>
      </w:r>
      <w:proofErr w:type="gramEnd"/>
      <w:r w:rsidRPr="004736FC">
        <w:rPr>
          <w:rFonts w:ascii="Times New Roman" w:hAnsi="Times New Roman"/>
          <w:sz w:val="28"/>
          <w:szCs w:val="28"/>
        </w:rPr>
        <w:t xml:space="preserve"> ради </w:t>
      </w:r>
      <w:r w:rsidRPr="004736FC">
        <w:rPr>
          <w:rFonts w:ascii="Times New Roman" w:hAnsi="Times New Roman"/>
          <w:sz w:val="28"/>
          <w:szCs w:val="28"/>
          <w:lang w:val="en-US"/>
        </w:rPr>
        <w:t>VIII</w:t>
      </w:r>
      <w:r w:rsidRPr="004736FC">
        <w:rPr>
          <w:rFonts w:ascii="Times New Roman" w:hAnsi="Times New Roman"/>
          <w:sz w:val="28"/>
          <w:szCs w:val="28"/>
        </w:rPr>
        <w:t xml:space="preserve"> демократичного скликання від  28.10.2021 № 817</w:t>
      </w:r>
    </w:p>
    <w:p w:rsidR="004736FC" w:rsidRPr="004736FC" w:rsidRDefault="004736FC" w:rsidP="004736FC">
      <w:pPr>
        <w:pStyle w:val="a5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736FC" w:rsidRPr="004736FC" w:rsidRDefault="004736FC" w:rsidP="004736FC">
      <w:pPr>
        <w:pStyle w:val="a5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4736FC">
        <w:rPr>
          <w:b/>
          <w:bCs/>
          <w:color w:val="000000"/>
          <w:sz w:val="28"/>
          <w:szCs w:val="28"/>
        </w:rPr>
        <w:t>СКЛАД</w:t>
      </w:r>
    </w:p>
    <w:p w:rsidR="004736FC" w:rsidRPr="004736FC" w:rsidRDefault="004736FC" w:rsidP="004736F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36FC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Громадської ради при </w:t>
      </w:r>
      <w:proofErr w:type="spellStart"/>
      <w:r w:rsidRPr="004736FC">
        <w:rPr>
          <w:rFonts w:ascii="Times New Roman" w:hAnsi="Times New Roman"/>
          <w:b/>
          <w:bCs/>
          <w:color w:val="000000"/>
          <w:sz w:val="28"/>
          <w:szCs w:val="28"/>
        </w:rPr>
        <w:t>Новороздільській</w:t>
      </w:r>
      <w:proofErr w:type="spellEnd"/>
      <w:r w:rsidRPr="00473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міській раді</w:t>
      </w:r>
    </w:p>
    <w:p w:rsidR="004736FC" w:rsidRPr="004736FC" w:rsidRDefault="004736FC" w:rsidP="004736F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3"/>
        <w:gridCol w:w="4545"/>
        <w:gridCol w:w="4214"/>
      </w:tblGrid>
      <w:tr w:rsidR="004736FC" w:rsidRPr="004736FC" w:rsidTr="00FF5299">
        <w:trPr>
          <w:trHeight w:val="488"/>
        </w:trPr>
        <w:tc>
          <w:tcPr>
            <w:tcW w:w="563" w:type="dxa"/>
            <w:noWrap/>
          </w:tcPr>
          <w:p w:rsidR="004736FC" w:rsidRPr="004736FC" w:rsidRDefault="004736FC" w:rsidP="00FF5299">
            <w:pPr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b/>
                <w:bCs/>
                <w:color w:val="212529"/>
                <w:sz w:val="28"/>
                <w:szCs w:val="28"/>
              </w:rPr>
              <w:t>№</w:t>
            </w:r>
          </w:p>
        </w:tc>
        <w:tc>
          <w:tcPr>
            <w:tcW w:w="4545" w:type="dxa"/>
          </w:tcPr>
          <w:p w:rsidR="004736FC" w:rsidRPr="004736FC" w:rsidRDefault="004736FC" w:rsidP="00FF5299">
            <w:pPr>
              <w:ind w:left="113"/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b/>
                <w:bCs/>
                <w:color w:val="212529"/>
                <w:sz w:val="28"/>
                <w:szCs w:val="28"/>
              </w:rPr>
              <w:t>ПІБ</w:t>
            </w:r>
          </w:p>
        </w:tc>
        <w:tc>
          <w:tcPr>
            <w:tcW w:w="4214" w:type="dxa"/>
          </w:tcPr>
          <w:p w:rsidR="004736FC" w:rsidRPr="004736FC" w:rsidRDefault="004736FC" w:rsidP="00FF5299">
            <w:pPr>
              <w:ind w:left="113"/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b/>
                <w:bCs/>
                <w:color w:val="212529"/>
                <w:sz w:val="28"/>
                <w:szCs w:val="28"/>
              </w:rPr>
              <w:t>Місце роботи / навчання</w:t>
            </w:r>
          </w:p>
        </w:tc>
      </w:tr>
      <w:tr w:rsidR="004736FC" w:rsidRPr="004736FC" w:rsidTr="00FF5299">
        <w:trPr>
          <w:trHeight w:val="473"/>
        </w:trPr>
        <w:tc>
          <w:tcPr>
            <w:tcW w:w="563" w:type="dxa"/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Рибко Іван Володимирович (голова Громадської ради)</w:t>
            </w:r>
          </w:p>
        </w:tc>
        <w:tc>
          <w:tcPr>
            <w:tcW w:w="4214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Голова Благодійної організації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“Карітас-Новий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Розділ”</w:t>
            </w:r>
            <w:proofErr w:type="spellEnd"/>
          </w:p>
        </w:tc>
      </w:tr>
      <w:tr w:rsidR="004736FC" w:rsidRPr="004736FC" w:rsidTr="00FF5299">
        <w:trPr>
          <w:trHeight w:val="638"/>
        </w:trPr>
        <w:tc>
          <w:tcPr>
            <w:tcW w:w="563" w:type="dxa"/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Павлишин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Олег Тарасович (заступник голови Громадської ради)</w:t>
            </w:r>
          </w:p>
        </w:tc>
        <w:tc>
          <w:tcPr>
            <w:tcW w:w="4214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Тимчасово безробітний</w:t>
            </w:r>
          </w:p>
        </w:tc>
      </w:tr>
      <w:tr w:rsidR="004736FC" w:rsidRPr="004736FC" w:rsidTr="00FF5299">
        <w:trPr>
          <w:trHeight w:val="476"/>
        </w:trPr>
        <w:tc>
          <w:tcPr>
            <w:tcW w:w="563" w:type="dxa"/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Єленік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Мар’яна Романівна (секретар Громадської ради)</w:t>
            </w:r>
          </w:p>
        </w:tc>
        <w:tc>
          <w:tcPr>
            <w:tcW w:w="4214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Керівник кафе COCOS</w:t>
            </w:r>
          </w:p>
        </w:tc>
      </w:tr>
      <w:tr w:rsidR="004736FC" w:rsidRPr="004736FC" w:rsidTr="00FF5299">
        <w:trPr>
          <w:trHeight w:val="263"/>
        </w:trPr>
        <w:tc>
          <w:tcPr>
            <w:tcW w:w="563" w:type="dxa"/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4</w:t>
            </w:r>
          </w:p>
        </w:tc>
        <w:tc>
          <w:tcPr>
            <w:tcW w:w="4545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Оприско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Мар’яна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Богданівна</w:t>
            </w:r>
            <w:proofErr w:type="spellEnd"/>
          </w:p>
        </w:tc>
        <w:tc>
          <w:tcPr>
            <w:tcW w:w="4214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Тимчасово безробітна</w:t>
            </w:r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5</w:t>
            </w:r>
          </w:p>
        </w:tc>
        <w:tc>
          <w:tcPr>
            <w:tcW w:w="4545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Василишин Василь Михайлович</w:t>
            </w:r>
          </w:p>
        </w:tc>
        <w:tc>
          <w:tcPr>
            <w:tcW w:w="4214" w:type="dxa"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Голова громадської організації </w:t>
            </w:r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“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Тавор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”</w:t>
            </w:r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Горбіль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Радислава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Василівна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Голова громадської організації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“Студія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розвитку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дітей”</w:t>
            </w:r>
            <w:proofErr w:type="spellEnd"/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Колодруб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Олег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Володимирович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Заступник директора з виробництва ТОВ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“Цукровик”</w:t>
            </w:r>
            <w:proofErr w:type="spellEnd"/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Галів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Наталія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Зіновіївна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Голова громадської організації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“Агенція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Розвитку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Розділля”</w:t>
            </w:r>
            <w:proofErr w:type="spellEnd"/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Мельник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Михайло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Васильович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Голова громадської організації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“Ефективне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управління”</w:t>
            </w:r>
            <w:proofErr w:type="spellEnd"/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10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Жук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Іван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Васильович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Головний диспетчер ТОВ “ВТ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lastRenderedPageBreak/>
              <w:t>Техсервіс”</w:t>
            </w:r>
            <w:proofErr w:type="spellEnd"/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Слобода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Андрій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Тимчасово безробітний</w:t>
            </w:r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Сорокманюк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Михайло Васильович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Начальник відділу з охорони праці,навколишнього середовища та цивільного захисту</w:t>
            </w:r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Мурзак Віктор Борисович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Охоронець ТОВ </w:t>
            </w:r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“</w:t>
            </w: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НВП КРТ</w:t>
            </w:r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”</w:t>
            </w:r>
          </w:p>
        </w:tc>
      </w:tr>
      <w:tr w:rsidR="004736FC" w:rsidRPr="004736FC" w:rsidTr="00FF5299">
        <w:trPr>
          <w:trHeight w:val="6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14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Корецький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Мар’</w:t>
            </w:r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ян</w:t>
            </w:r>
            <w:proofErr w:type="spellEnd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6FC">
              <w:rPr>
                <w:rFonts w:ascii="Times New Roman" w:hAnsi="Times New Roman"/>
                <w:color w:val="212529"/>
                <w:sz w:val="28"/>
                <w:szCs w:val="28"/>
                <w:lang w:val="en-US"/>
              </w:rPr>
              <w:t>Степанович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C" w:rsidRPr="004736FC" w:rsidRDefault="004736FC" w:rsidP="00FF5299">
            <w:pPr>
              <w:spacing w:after="188"/>
              <w:ind w:left="113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4736FC">
              <w:rPr>
                <w:rFonts w:ascii="Times New Roman" w:hAnsi="Times New Roman"/>
                <w:color w:val="212529"/>
                <w:sz w:val="28"/>
                <w:szCs w:val="28"/>
              </w:rPr>
              <w:t>Тимчасово безробітний</w:t>
            </w:r>
          </w:p>
        </w:tc>
      </w:tr>
    </w:tbl>
    <w:p w:rsidR="004736FC" w:rsidRPr="004736FC" w:rsidRDefault="004736FC" w:rsidP="004736FC">
      <w:pPr>
        <w:tabs>
          <w:tab w:val="left" w:pos="-142"/>
          <w:tab w:val="left" w:pos="851"/>
        </w:tabs>
        <w:ind w:right="98"/>
        <w:jc w:val="both"/>
        <w:rPr>
          <w:rFonts w:ascii="Times New Roman" w:hAnsi="Times New Roman"/>
          <w:i/>
          <w:sz w:val="28"/>
          <w:szCs w:val="28"/>
        </w:rPr>
      </w:pPr>
    </w:p>
    <w:p w:rsidR="004736FC" w:rsidRPr="004736FC" w:rsidRDefault="004736FC" w:rsidP="004736FC">
      <w:pPr>
        <w:pStyle w:val="a5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736FC" w:rsidRPr="004736FC" w:rsidRDefault="004736FC" w:rsidP="004736FC">
      <w:pPr>
        <w:tabs>
          <w:tab w:val="left" w:pos="-142"/>
          <w:tab w:val="left" w:pos="851"/>
        </w:tabs>
        <w:ind w:right="98"/>
        <w:jc w:val="both"/>
        <w:rPr>
          <w:rFonts w:ascii="Times New Roman" w:hAnsi="Times New Roman"/>
          <w:sz w:val="28"/>
          <w:szCs w:val="28"/>
        </w:rPr>
      </w:pPr>
    </w:p>
    <w:p w:rsidR="004736FC" w:rsidRPr="004736FC" w:rsidRDefault="004736FC" w:rsidP="004736FC">
      <w:pPr>
        <w:tabs>
          <w:tab w:val="left" w:pos="-142"/>
          <w:tab w:val="left" w:pos="851"/>
        </w:tabs>
        <w:ind w:right="98"/>
        <w:rPr>
          <w:rFonts w:ascii="Times New Roman" w:hAnsi="Times New Roman"/>
          <w:sz w:val="28"/>
          <w:szCs w:val="28"/>
        </w:rPr>
        <w:sectPr w:rsidR="004736FC" w:rsidRPr="004736FC" w:rsidSect="009A4EA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4736FC">
        <w:rPr>
          <w:rFonts w:ascii="Times New Roman" w:hAnsi="Times New Roman"/>
          <w:sz w:val="28"/>
          <w:szCs w:val="28"/>
        </w:rPr>
        <w:t xml:space="preserve">СЕКРЕТАР  РАДИ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736FC">
        <w:rPr>
          <w:rFonts w:ascii="Times New Roman" w:hAnsi="Times New Roman"/>
          <w:sz w:val="28"/>
          <w:szCs w:val="28"/>
        </w:rPr>
        <w:t xml:space="preserve">               Оксана ЦАРИК</w:t>
      </w:r>
    </w:p>
    <w:p w:rsidR="004736FC" w:rsidRPr="004736FC" w:rsidRDefault="004736FC" w:rsidP="004736FC">
      <w:pPr>
        <w:rPr>
          <w:rFonts w:ascii="Times New Roman" w:hAnsi="Times New Roman"/>
          <w:sz w:val="28"/>
          <w:szCs w:val="28"/>
        </w:rPr>
      </w:pPr>
    </w:p>
    <w:p w:rsidR="004736FC" w:rsidRPr="004736FC" w:rsidRDefault="004736FC" w:rsidP="00377C23">
      <w:pPr>
        <w:shd w:val="clear" w:color="auto" w:fill="FAFAFA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AE27BC" w:rsidRPr="004736FC" w:rsidRDefault="00AE27BC">
      <w:pPr>
        <w:rPr>
          <w:rFonts w:ascii="Times New Roman" w:hAnsi="Times New Roman"/>
          <w:sz w:val="28"/>
          <w:szCs w:val="28"/>
        </w:rPr>
      </w:pPr>
    </w:p>
    <w:sectPr w:rsidR="00AE27BC" w:rsidRPr="004736FC" w:rsidSect="00AE2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77C23"/>
    <w:rsid w:val="00377C23"/>
    <w:rsid w:val="004736FC"/>
    <w:rsid w:val="00AE27BC"/>
    <w:rsid w:val="00FD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C2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3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Body Text Indent"/>
    <w:basedOn w:val="a"/>
    <w:link w:val="a7"/>
    <w:rsid w:val="004736FC"/>
    <w:pPr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4736F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2021-11-02T08:48:00Z</dcterms:created>
  <dcterms:modified xsi:type="dcterms:W3CDTF">2021-11-02T08:49:00Z</dcterms:modified>
</cp:coreProperties>
</file>