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A94" w:rsidRPr="003E1A94" w:rsidRDefault="003E1A94" w:rsidP="003E1A94">
      <w:pPr>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57" name="Рисунок 5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3E1A94" w:rsidRPr="003E1A94" w:rsidRDefault="003E1A94" w:rsidP="003E1A94">
      <w:pPr>
        <w:spacing w:after="0" w:line="240" w:lineRule="auto"/>
        <w:rPr>
          <w:rFonts w:ascii="Times New Roman" w:eastAsia="Times New Roman" w:hAnsi="Times New Roman" w:cs="Times New Roman"/>
          <w:sz w:val="24"/>
          <w:szCs w:val="24"/>
          <w:lang w:eastAsia="ru-RU"/>
        </w:rPr>
      </w:pPr>
    </w:p>
    <w:p w:rsidR="003E1A94" w:rsidRPr="003E1A94" w:rsidRDefault="003E1A94" w:rsidP="003E1A94">
      <w:pPr>
        <w:spacing w:before="100" w:beforeAutospacing="1" w:after="100" w:afterAutospacing="1" w:line="240" w:lineRule="auto"/>
        <w:jc w:val="center"/>
        <w:rPr>
          <w:rFonts w:ascii="Arial" w:eastAsia="Times New Roman" w:hAnsi="Arial" w:cs="Arial"/>
          <w:color w:val="333333"/>
          <w:sz w:val="10"/>
          <w:szCs w:val="10"/>
          <w:lang w:eastAsia="ru-RU"/>
        </w:rPr>
      </w:pPr>
      <w:r w:rsidRPr="003E1A94">
        <w:rPr>
          <w:rFonts w:ascii="Arial" w:eastAsia="Times New Roman" w:hAnsi="Arial" w:cs="Arial"/>
          <w:color w:val="333333"/>
          <w:sz w:val="10"/>
          <w:szCs w:val="10"/>
          <w:lang w:eastAsia="ru-RU"/>
        </w:rPr>
        <w:t>НОВОРОЗДІЛЬСЬКА МІСЬКА РАДА</w:t>
      </w:r>
      <w:r w:rsidRPr="003E1A94">
        <w:rPr>
          <w:rFonts w:ascii="Arial" w:eastAsia="Times New Roman" w:hAnsi="Arial" w:cs="Arial"/>
          <w:color w:val="333333"/>
          <w:sz w:val="10"/>
          <w:szCs w:val="10"/>
          <w:lang w:eastAsia="ru-RU"/>
        </w:rPr>
        <w:br/>
        <w:t>  ЛЬВІВСЬКОЇ ОБЛАСТІ</w:t>
      </w:r>
      <w:r w:rsidRPr="003E1A94">
        <w:rPr>
          <w:rFonts w:ascii="Arial" w:eastAsia="Times New Roman" w:hAnsi="Arial" w:cs="Arial"/>
          <w:color w:val="333333"/>
          <w:sz w:val="10"/>
          <w:szCs w:val="10"/>
          <w:lang w:eastAsia="ru-RU"/>
        </w:rPr>
        <w:br/>
      </w:r>
      <w:r w:rsidRPr="003E1A94">
        <w:rPr>
          <w:rFonts w:ascii="Arial" w:eastAsia="Times New Roman" w:hAnsi="Arial" w:cs="Arial"/>
          <w:color w:val="333333"/>
          <w:sz w:val="10"/>
          <w:szCs w:val="10"/>
          <w:lang w:eastAsia="ru-RU"/>
        </w:rPr>
        <w:br/>
        <w:t>РІШЕННЯ № </w:t>
      </w:r>
      <w:r w:rsidRPr="003E1A94">
        <w:rPr>
          <w:rFonts w:ascii="Arial" w:eastAsia="Times New Roman" w:hAnsi="Arial" w:cs="Arial"/>
          <w:b/>
          <w:bCs/>
          <w:color w:val="333333"/>
          <w:sz w:val="10"/>
          <w:lang w:eastAsia="ru-RU"/>
        </w:rPr>
        <w:t>1256</w:t>
      </w:r>
    </w:p>
    <w:p w:rsidR="003E1A94" w:rsidRPr="003E1A94" w:rsidRDefault="003E1A94" w:rsidP="003E1A94">
      <w:pPr>
        <w:spacing w:before="100" w:beforeAutospacing="1" w:after="100" w:afterAutospacing="1" w:line="240" w:lineRule="auto"/>
        <w:jc w:val="center"/>
        <w:rPr>
          <w:rFonts w:ascii="Arial" w:eastAsia="Times New Roman" w:hAnsi="Arial" w:cs="Arial"/>
          <w:color w:val="333333"/>
          <w:sz w:val="10"/>
          <w:szCs w:val="10"/>
          <w:lang w:eastAsia="ru-RU"/>
        </w:rPr>
      </w:pPr>
      <w:r w:rsidRPr="003E1A94">
        <w:rPr>
          <w:rFonts w:ascii="Arial" w:eastAsia="Times New Roman" w:hAnsi="Arial" w:cs="Arial"/>
          <w:color w:val="333333"/>
          <w:sz w:val="10"/>
          <w:szCs w:val="10"/>
          <w:lang w:eastAsia="ru-RU"/>
        </w:rPr>
        <w:t> </w:t>
      </w:r>
    </w:p>
    <w:p w:rsidR="003E1A94" w:rsidRPr="003E1A94" w:rsidRDefault="003E1A94" w:rsidP="003E1A94">
      <w:pPr>
        <w:spacing w:before="100" w:beforeAutospacing="1" w:after="100" w:afterAutospacing="1" w:line="240" w:lineRule="auto"/>
        <w:rPr>
          <w:rFonts w:ascii="Arial" w:eastAsia="Times New Roman" w:hAnsi="Arial" w:cs="Arial"/>
          <w:color w:val="333333"/>
          <w:sz w:val="10"/>
          <w:szCs w:val="10"/>
          <w:lang w:eastAsia="ru-RU"/>
        </w:rPr>
      </w:pPr>
      <w:r w:rsidRPr="003E1A94">
        <w:rPr>
          <w:rFonts w:ascii="Arial" w:eastAsia="Times New Roman" w:hAnsi="Arial" w:cs="Arial"/>
          <w:color w:val="333333"/>
          <w:sz w:val="10"/>
          <w:szCs w:val="10"/>
          <w:lang w:eastAsia="ru-RU"/>
        </w:rPr>
        <w:t> </w:t>
      </w:r>
    </w:p>
    <w:tbl>
      <w:tblPr>
        <w:tblW w:w="13120" w:type="dxa"/>
        <w:tblCellMar>
          <w:left w:w="0" w:type="dxa"/>
          <w:right w:w="0" w:type="dxa"/>
        </w:tblCellMar>
        <w:tblLook w:val="04A0"/>
      </w:tblPr>
      <w:tblGrid>
        <w:gridCol w:w="13120"/>
      </w:tblGrid>
      <w:tr w:rsidR="003E1A94" w:rsidRPr="003E1A94" w:rsidTr="003E1A94">
        <w:trPr>
          <w:trHeight w:val="315"/>
        </w:trPr>
        <w:tc>
          <w:tcPr>
            <w:tcW w:w="13120" w:type="dxa"/>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17 грудня 2019 року</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Про міський бюджет на 2020 рік </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                   </w:t>
            </w: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before="100" w:beforeAutospacing="1" w:after="100" w:afterAutospacing="1"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Відповідно до статей 75, 76, 77  Бюджетного кодексу України,  п. 23 ч. 1 ст. 26 Закону України  «Про місцеве самоврядування в Україні», LІІІ сесія Новороздільської міської ради VІІ демократичного скликання  </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i/>
                <w:iCs/>
                <w:color w:val="000000"/>
                <w:sz w:val="24"/>
                <w:szCs w:val="24"/>
                <w:lang w:eastAsia="ru-RU"/>
              </w:rPr>
              <w:t>В И Р І Ш И Л А </w:t>
            </w:r>
            <w:r w:rsidRPr="003E1A94">
              <w:rPr>
                <w:rFonts w:ascii="Times New Roman" w:eastAsia="Times New Roman" w:hAnsi="Times New Roman" w:cs="Times New Roman"/>
                <w:i/>
                <w:iCs/>
                <w:color w:val="000000"/>
                <w:sz w:val="24"/>
                <w:szCs w:val="24"/>
                <w:lang w:eastAsia="ru-RU"/>
              </w:rPr>
              <w:t>:</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1.</w:t>
            </w:r>
            <w:r w:rsidRPr="003E1A94">
              <w:rPr>
                <w:rFonts w:ascii="Times New Roman" w:eastAsia="Times New Roman" w:hAnsi="Times New Roman" w:cs="Times New Roman"/>
                <w:b/>
                <w:bCs/>
                <w:color w:val="000000"/>
                <w:sz w:val="15"/>
                <w:lang w:eastAsia="ru-RU"/>
              </w:rPr>
              <w:t>                  </w:t>
            </w:r>
            <w:r w:rsidRPr="003E1A94">
              <w:rPr>
                <w:rFonts w:ascii="Times New Roman" w:eastAsia="Times New Roman" w:hAnsi="Times New Roman" w:cs="Times New Roman"/>
                <w:color w:val="000000"/>
                <w:sz w:val="24"/>
                <w:szCs w:val="24"/>
                <w:lang w:eastAsia="ru-RU"/>
              </w:rPr>
              <w:t>Визначити на 2020 рік:</w:t>
            </w:r>
          </w:p>
        </w:tc>
      </w:tr>
      <w:tr w:rsidR="003E1A94" w:rsidRPr="003E1A94" w:rsidTr="003E1A94">
        <w:trPr>
          <w:trHeight w:val="94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доходи міського бюджету</w:t>
            </w:r>
            <w:r w:rsidRPr="003E1A94">
              <w:rPr>
                <w:rFonts w:ascii="Times New Roman" w:eastAsia="Times New Roman" w:hAnsi="Times New Roman" w:cs="Times New Roman"/>
                <w:color w:val="000000"/>
                <w:sz w:val="24"/>
                <w:szCs w:val="24"/>
                <w:lang w:eastAsia="ru-RU"/>
              </w:rPr>
              <w:t> у сумі 146 873 700,00  гривень, у тому числі доходи загального фонду міського бюджету – 144 529 500,00 гривень та доходи спеціального фонду міського бюджету – 2 344 200,00 гривень  згідно з додатком № 1 цього рішення;</w:t>
            </w: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видатки міського бюджету</w:t>
            </w:r>
            <w:r w:rsidRPr="003E1A94">
              <w:rPr>
                <w:rFonts w:ascii="Times New Roman" w:eastAsia="Times New Roman" w:hAnsi="Times New Roman" w:cs="Times New Roman"/>
                <w:color w:val="000000"/>
                <w:sz w:val="24"/>
                <w:szCs w:val="24"/>
                <w:lang w:eastAsia="ru-RU"/>
              </w:rPr>
              <w:t> у сумі 146 873 700,00  гривень  у тому числі видатки загального фонду міського бюджету – 141 909 500,00  гривень, видатки спеціального фонду міського бюджету – 4 964 200,00 гривень. </w:t>
            </w: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оборотний залишок</w:t>
            </w:r>
            <w:r w:rsidRPr="003E1A94">
              <w:rPr>
                <w:rFonts w:ascii="Times New Roman" w:eastAsia="Times New Roman" w:hAnsi="Times New Roman" w:cs="Times New Roman"/>
                <w:color w:val="000000"/>
                <w:sz w:val="24"/>
                <w:szCs w:val="24"/>
                <w:lang w:eastAsia="ru-RU"/>
              </w:rPr>
              <w:t> бюджетних коштів міського бюджету  у розмірі 2 500000,0 тис. гривень, що становить  1,77 відсотків видатків загального фонду міського бюджету, визначених цим пунктом додаток 2 до цього рішення;</w:t>
            </w: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резервний  фонд</w:t>
            </w:r>
            <w:r w:rsidRPr="003E1A94">
              <w:rPr>
                <w:rFonts w:ascii="Times New Roman" w:eastAsia="Times New Roman" w:hAnsi="Times New Roman" w:cs="Times New Roman"/>
                <w:color w:val="000000"/>
                <w:sz w:val="24"/>
                <w:szCs w:val="24"/>
                <w:lang w:eastAsia="ru-RU"/>
              </w:rPr>
              <w:t> міського бюджету у розмірі 50 000,00 гривень, що становить  0,036 відсотків видатків загального фонду міського бюджету, визначених цим пунктом.</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lastRenderedPageBreak/>
              <w:t>2</w:t>
            </w:r>
            <w:r w:rsidRPr="003E1A94">
              <w:rPr>
                <w:rFonts w:ascii="Times New Roman" w:eastAsia="Times New Roman" w:hAnsi="Times New Roman" w:cs="Times New Roman"/>
                <w:color w:val="000000"/>
                <w:sz w:val="24"/>
                <w:szCs w:val="24"/>
                <w:lang w:eastAsia="ru-RU"/>
              </w:rPr>
              <w:t>. Затвердити </w:t>
            </w:r>
            <w:r w:rsidRPr="003E1A94">
              <w:rPr>
                <w:rFonts w:ascii="Times New Roman" w:eastAsia="Times New Roman" w:hAnsi="Times New Roman" w:cs="Times New Roman"/>
                <w:b/>
                <w:bCs/>
                <w:color w:val="000000"/>
                <w:sz w:val="24"/>
                <w:szCs w:val="24"/>
                <w:lang w:eastAsia="ru-RU"/>
              </w:rPr>
              <w:t>бюджетні призначення</w:t>
            </w:r>
            <w:r w:rsidRPr="003E1A94">
              <w:rPr>
                <w:rFonts w:ascii="Times New Roman" w:eastAsia="Times New Roman" w:hAnsi="Times New Roman" w:cs="Times New Roman"/>
                <w:color w:val="000000"/>
                <w:sz w:val="24"/>
                <w:szCs w:val="24"/>
                <w:lang w:eastAsia="ru-RU"/>
              </w:rPr>
              <w:t> головним розпорядникам коштів міського бюджету на 2020 рік у розрізі відповідальних виконавців за бюджетними програмами згідно з додатком № 3 до цього рішення.</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3. </w:t>
            </w:r>
            <w:r w:rsidRPr="003E1A94">
              <w:rPr>
                <w:rFonts w:ascii="Times New Roman" w:eastAsia="Times New Roman" w:hAnsi="Times New Roman" w:cs="Times New Roman"/>
                <w:color w:val="000000"/>
                <w:sz w:val="24"/>
                <w:szCs w:val="24"/>
                <w:lang w:eastAsia="ru-RU"/>
              </w:rPr>
              <w:t>Затвердити на 2020 рік </w:t>
            </w:r>
            <w:r w:rsidRPr="003E1A94">
              <w:rPr>
                <w:rFonts w:ascii="Times New Roman" w:eastAsia="Times New Roman" w:hAnsi="Times New Roman" w:cs="Times New Roman"/>
                <w:b/>
                <w:bCs/>
                <w:color w:val="000000"/>
                <w:sz w:val="24"/>
                <w:szCs w:val="24"/>
                <w:lang w:eastAsia="ru-RU"/>
              </w:rPr>
              <w:t>міжбюджетні трансферти</w:t>
            </w:r>
            <w:r w:rsidRPr="003E1A94">
              <w:rPr>
                <w:rFonts w:ascii="Times New Roman" w:eastAsia="Times New Roman" w:hAnsi="Times New Roman" w:cs="Times New Roman"/>
                <w:color w:val="000000"/>
                <w:sz w:val="24"/>
                <w:szCs w:val="24"/>
                <w:lang w:eastAsia="ru-RU"/>
              </w:rPr>
              <w:t> згідно з додатком № 4 до цього рішення.</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94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4</w:t>
            </w:r>
            <w:r w:rsidRPr="003E1A94">
              <w:rPr>
                <w:rFonts w:ascii="Times New Roman" w:eastAsia="Times New Roman" w:hAnsi="Times New Roman" w:cs="Times New Roman"/>
                <w:color w:val="000000"/>
                <w:sz w:val="24"/>
                <w:szCs w:val="24"/>
                <w:lang w:eastAsia="ru-RU"/>
              </w:rPr>
              <w:t>.   Затвердити на 2020 рік розподіл коштів бюджету розвитку на здійснення заходів на будівництво, реконструкцію та реставрацію об’єктів виробничої, комунікаційної та соціальної інфраструктури за об’єктами згідно з додатком № 5 до цього рішення.</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5. Затвердити на 2020 рік розподіл витрат міського бюджету на реалізацію місцевих (регіональних) програм у сумі 14871200,00  гривень згідно з додатком № 6 до цього рішення.</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6.</w:t>
            </w:r>
            <w:r w:rsidRPr="003E1A94">
              <w:rPr>
                <w:rFonts w:ascii="Times New Roman" w:eastAsia="Times New Roman" w:hAnsi="Times New Roman" w:cs="Times New Roman"/>
                <w:color w:val="000000"/>
                <w:sz w:val="24"/>
                <w:szCs w:val="24"/>
                <w:lang w:eastAsia="ru-RU"/>
              </w:rPr>
              <w:t> Затвердити </w:t>
            </w:r>
            <w:r w:rsidRPr="003E1A94">
              <w:rPr>
                <w:rFonts w:ascii="Times New Roman" w:eastAsia="Times New Roman" w:hAnsi="Times New Roman" w:cs="Times New Roman"/>
                <w:b/>
                <w:bCs/>
                <w:color w:val="000000"/>
                <w:sz w:val="24"/>
                <w:szCs w:val="24"/>
                <w:lang w:eastAsia="ru-RU"/>
              </w:rPr>
              <w:t>граничні обсяги</w:t>
            </w:r>
            <w:r w:rsidRPr="003E1A94">
              <w:rPr>
                <w:rFonts w:ascii="Times New Roman" w:eastAsia="Times New Roman" w:hAnsi="Times New Roman" w:cs="Times New Roman"/>
                <w:color w:val="000000"/>
                <w:sz w:val="24"/>
                <w:szCs w:val="24"/>
                <w:lang w:eastAsia="ru-RU"/>
              </w:rPr>
              <w:t> споживання енергоносіїв у фізичних розмірах для головних розпорядників коштів міського бюджету згідно з додатком 7</w:t>
            </w:r>
            <w:r w:rsidRPr="003E1A94">
              <w:rPr>
                <w:rFonts w:ascii="Times New Roman" w:eastAsia="Times New Roman" w:hAnsi="Times New Roman" w:cs="Times New Roman"/>
                <w:b/>
                <w:bCs/>
                <w:color w:val="000000"/>
                <w:sz w:val="24"/>
                <w:szCs w:val="24"/>
                <w:lang w:eastAsia="ru-RU"/>
              </w:rPr>
              <w:t> </w:t>
            </w:r>
            <w:r w:rsidRPr="003E1A94">
              <w:rPr>
                <w:rFonts w:ascii="Times New Roman" w:eastAsia="Times New Roman" w:hAnsi="Times New Roman" w:cs="Times New Roman"/>
                <w:color w:val="000000"/>
                <w:sz w:val="24"/>
                <w:szCs w:val="24"/>
                <w:lang w:eastAsia="ru-RU"/>
              </w:rPr>
              <w:t>до цього рішення. </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163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7. </w:t>
            </w:r>
            <w:r w:rsidRPr="003E1A94">
              <w:rPr>
                <w:rFonts w:ascii="Times New Roman" w:eastAsia="Times New Roman" w:hAnsi="Times New Roman" w:cs="Times New Roman"/>
                <w:color w:val="000000"/>
                <w:sz w:val="24"/>
                <w:szCs w:val="24"/>
                <w:lang w:eastAsia="ru-RU"/>
              </w:rPr>
              <w:t>Установити, що у  загальному фонді міського бюджету на 2020 рік: до доходів загального фонду міського бюджету належать доходи, визначені статтями 64 Бюджетного кодексу України, та трансферти, визначені статтями 97, 102, 103², 103</w:t>
            </w:r>
            <w:r w:rsidRPr="003E1A94">
              <w:rPr>
                <w:rFonts w:ascii="Times New Roman" w:eastAsia="Times New Roman" w:hAnsi="Times New Roman" w:cs="Times New Roman"/>
                <w:color w:val="000000"/>
                <w:sz w:val="20"/>
                <w:szCs w:val="20"/>
                <w:vertAlign w:val="superscript"/>
                <w:lang w:eastAsia="ru-RU"/>
              </w:rPr>
              <w:t>4</w:t>
            </w:r>
            <w:r w:rsidRPr="003E1A94">
              <w:rPr>
                <w:rFonts w:ascii="Times New Roman" w:eastAsia="Times New Roman" w:hAnsi="Times New Roman" w:cs="Times New Roman"/>
                <w:color w:val="000000"/>
                <w:sz w:val="24"/>
                <w:szCs w:val="24"/>
                <w:lang w:eastAsia="ru-RU"/>
              </w:rPr>
              <w:t> Бюджетного кодексу України (крім субвенцій, визначених статтею 69-1 та частиною першою статті 71 Бюджетного кодексу України), а також надходження відповідно до Закону України "Про Державний бюджет України 2020 рік" та збереження протягом 2020 року норми щодо зарахування 13,44 % акцизного податку з пального до місцевих бюджетів.</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94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8</w:t>
            </w:r>
            <w:r w:rsidRPr="003E1A94">
              <w:rPr>
                <w:rFonts w:ascii="Times New Roman" w:eastAsia="Times New Roman" w:hAnsi="Times New Roman" w:cs="Times New Roman"/>
                <w:color w:val="000000"/>
                <w:sz w:val="24"/>
                <w:szCs w:val="24"/>
                <w:lang w:eastAsia="ru-RU"/>
              </w:rPr>
              <w:t>. Установити що джерелами формування  спеціального фонду міського бюджету на 2020 рік: у частині доходів є надходження, визначені статтями 69-1,71 Бюджетного кодексу України, а також надходження   відповідно до Закону України «Про Державний бюджет України на 2020 рік».</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9</w:t>
            </w:r>
            <w:r w:rsidRPr="003E1A94">
              <w:rPr>
                <w:rFonts w:ascii="Times New Roman" w:eastAsia="Times New Roman" w:hAnsi="Times New Roman" w:cs="Times New Roman"/>
                <w:color w:val="000000"/>
                <w:sz w:val="24"/>
                <w:szCs w:val="24"/>
                <w:lang w:eastAsia="ru-RU"/>
              </w:rPr>
              <w:t>. Визначити на 2020 рік відповіднодо статті 55 Бюджетного кодексу України</w:t>
            </w:r>
            <w:r w:rsidRPr="003E1A94">
              <w:rPr>
                <w:rFonts w:ascii="Times New Roman" w:eastAsia="Times New Roman" w:hAnsi="Times New Roman" w:cs="Times New Roman"/>
                <w:b/>
                <w:bCs/>
                <w:color w:val="000000"/>
                <w:sz w:val="24"/>
                <w:szCs w:val="24"/>
                <w:lang w:eastAsia="ru-RU"/>
              </w:rPr>
              <w:t> захищеними видатками </w:t>
            </w:r>
            <w:r w:rsidRPr="003E1A94">
              <w:rPr>
                <w:rFonts w:ascii="Times New Roman" w:eastAsia="Times New Roman" w:hAnsi="Times New Roman" w:cs="Times New Roman"/>
                <w:color w:val="000000"/>
                <w:sz w:val="24"/>
                <w:szCs w:val="24"/>
                <w:lang w:eastAsia="ru-RU"/>
              </w:rPr>
              <w:t>міського бюджету</w:t>
            </w:r>
            <w:r w:rsidRPr="003E1A94">
              <w:rPr>
                <w:rFonts w:ascii="Times New Roman" w:eastAsia="Times New Roman" w:hAnsi="Times New Roman" w:cs="Times New Roman"/>
                <w:b/>
                <w:bCs/>
                <w:color w:val="000000"/>
                <w:sz w:val="24"/>
                <w:szCs w:val="24"/>
                <w:lang w:eastAsia="ru-RU"/>
              </w:rPr>
              <w:t>  </w:t>
            </w:r>
            <w:r w:rsidRPr="003E1A94">
              <w:rPr>
                <w:rFonts w:ascii="Times New Roman" w:eastAsia="Times New Roman" w:hAnsi="Times New Roman" w:cs="Times New Roman"/>
                <w:color w:val="000000"/>
                <w:sz w:val="24"/>
                <w:szCs w:val="24"/>
                <w:lang w:eastAsia="ru-RU"/>
              </w:rPr>
              <w:t>видатки загального фонду на:</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оплату праці працівників бюджетних установ;</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нарахування на заробітну  плату;</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lastRenderedPageBreak/>
              <w:t>-  придбання медикаментів та перев’язувальних матеріалів;</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забезпечення продуктами  харчування;</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оплату комунальних послуг та енергоносіїв;</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поточні трансферти населенню;</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поточні трансферти місцевим бюджетам.</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10.   </w:t>
            </w:r>
            <w:r w:rsidRPr="003E1A94">
              <w:rPr>
                <w:rFonts w:ascii="Times New Roman" w:eastAsia="Times New Roman" w:hAnsi="Times New Roman" w:cs="Times New Roman"/>
                <w:color w:val="000000"/>
                <w:sz w:val="24"/>
                <w:szCs w:val="24"/>
                <w:lang w:eastAsia="ru-RU"/>
              </w:rPr>
              <w:t>Взяти до відома, що відповідно до вимог Бюджетного кодексу України:</w:t>
            </w:r>
          </w:p>
        </w:tc>
      </w:tr>
      <w:tr w:rsidR="003E1A94" w:rsidRPr="003E1A94" w:rsidTr="003E1A94">
        <w:trPr>
          <w:trHeight w:val="126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10.1. У межах загального обсягу бюджетних призначень за кодом програмної класифікації видатків та кредитування місцевих бюджетів окремо за загальним та спеціальним фондами бюджету місцевий фінансовий орган за обґрунтованим поданням головного розпорядника бюджетних коштів здійснює перерозподіл бюджетних асигнувань, затверджених у розписі бюджету та кошторисі, в розрізі економічної класифікації видатків бюджету.</w:t>
            </w:r>
          </w:p>
        </w:tc>
      </w:tr>
      <w:tr w:rsidR="003E1A94" w:rsidRPr="003E1A94" w:rsidTr="003E1A94">
        <w:trPr>
          <w:trHeight w:val="126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10.2. У межах загального обсягу бюджетних призначень головного розпорядника бюджетних коштів перерозподіл видатків за кодами програмної  класифікації видатків та кредитування місцевих бюджетів, а також збільшення видатків розвитку за рахунок зменшення інших видатків (окремо за загальним та спеціальним фондами бюджету) здійснюється  за рішенням виконавчого органу міської ради погодженим з бюджетною комісією міської ради. </w:t>
            </w: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10.3. Забороняється без внесення змін до рішення про місцевий бюджет збільшення бюджетних призначень за загальним та спеціальним фондами місцевого бюджету на:</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 оплату праці працівників бюджетних установ за рахунок зменшення інших видатків;</w:t>
            </w: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  видатки, пов’язані з функціонуванням органів місцевого самоврядування, за рахунок зменшення видатків за іншими кодами тимчасової класифікації видатків та кредитування.</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189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11.</w:t>
            </w:r>
            <w:r w:rsidRPr="003E1A94">
              <w:rPr>
                <w:rFonts w:ascii="Times New Roman" w:eastAsia="Times New Roman" w:hAnsi="Times New Roman" w:cs="Times New Roman"/>
                <w:color w:val="000000"/>
                <w:sz w:val="24"/>
                <w:szCs w:val="24"/>
                <w:lang w:eastAsia="ru-RU"/>
              </w:rPr>
              <w:t>  Відповідно до статей 43 та 73 Бюджетного кодексу України, надати право начальнику фінансового управління Новороздільської міської ради отримувати у порядку визначеному Кабінетом Міністрів України позики на покриття тимчасових касових розривів міського бюджету, пов’язаних із забезпеченням захищених видатків загального фонду, у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tc>
      </w:tr>
      <w:tr w:rsidR="003E1A94" w:rsidRPr="003E1A94" w:rsidTr="003E1A94">
        <w:trPr>
          <w:trHeight w:val="94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lastRenderedPageBreak/>
              <w:t>Урахувати,що у разі розміщення коштів міського бюджету на депозитах та обслуговування коштів міського бюджету у частині бюджету розвитку в установі банку державного сектора обсяги тимчасових касових розривів за загальним фондом міського бюджету не покриваються за рахунок коштів єдиного казначейського рахунку.</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126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12.</w:t>
            </w:r>
            <w:r w:rsidRPr="003E1A94">
              <w:rPr>
                <w:rFonts w:ascii="Times New Roman" w:eastAsia="Times New Roman" w:hAnsi="Times New Roman" w:cs="Times New Roman"/>
                <w:color w:val="000000"/>
                <w:sz w:val="24"/>
                <w:szCs w:val="24"/>
                <w:lang w:eastAsia="ru-RU"/>
              </w:rPr>
              <w:t> Керуючись статтею 16 Бюджетного кодексу України надати право начальнику фінансового управління  Новороздільської міської ради в межах поточного бюджетного періоду 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tc>
      </w:tr>
      <w:tr w:rsidR="003E1A94" w:rsidRPr="003E1A94" w:rsidTr="003E1A94">
        <w:trPr>
          <w:trHeight w:val="94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Порядок здійснення таких операцій визначено Постановою Кабінету Міністріва України від 12.01.2011 року № 6 «Про затвердження Порядку розміщення тимчасово вільних коштів місцевих бюджетів на вкладних (депозитних) рахунках у банках» з урахуванням внесених змін.</w:t>
            </w: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Відсотки за користування тимчасово вільними коштами міського бюджету, розміщеними на депозитних рахунках у банківських установах, спрямовувати на проведення видатків міського бюджету. </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13. </w:t>
            </w:r>
            <w:r w:rsidRPr="003E1A94">
              <w:rPr>
                <w:rFonts w:ascii="Times New Roman" w:eastAsia="Times New Roman" w:hAnsi="Times New Roman" w:cs="Times New Roman"/>
                <w:color w:val="000000"/>
                <w:sz w:val="24"/>
                <w:szCs w:val="24"/>
                <w:lang w:eastAsia="ru-RU"/>
              </w:rPr>
              <w:t>Керуючись статтями 20, 28, 51, 77 Бюджетного кодексу України, зобов’язати розпорядників коштів міського бюджету: </w:t>
            </w:r>
          </w:p>
        </w:tc>
      </w:tr>
      <w:tr w:rsidR="003E1A94" w:rsidRPr="003E1A94" w:rsidTr="003E1A94">
        <w:trPr>
          <w:trHeight w:val="126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13.1.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закладами. </w:t>
            </w: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13.2. Затвердити ліміти споживання енергоносіїв у натуральних показниках для кожної бюджетної установи (закладу) виходячи з обсягів відповідних бюджетних асигнувань.</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13.3. Забезпечити укладання угод по кожному виду енергоносіїв у межах установлених лімітів.</w:t>
            </w:r>
          </w:p>
        </w:tc>
      </w:tr>
      <w:tr w:rsidR="003E1A94" w:rsidRPr="003E1A94" w:rsidTr="003E1A94">
        <w:trPr>
          <w:trHeight w:val="94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13.4. При виконанні  міського бюджету забезпечити у повному обсязі проведення розрахунків за електричну енергію, теплову енергію, водопостачання та водовідведення, природний газ та послуги зв’язку, які споживаються бюджетними установами та закладами, не допускаючи будь-якої простроченої заборгованості з їх оплати.</w:t>
            </w:r>
          </w:p>
        </w:tc>
      </w:tr>
      <w:tr w:rsidR="003E1A94" w:rsidRPr="003E1A94" w:rsidTr="003E1A94">
        <w:trPr>
          <w:trHeight w:val="126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13.5. На виконання вимог наказу Міністерства фінансів України від 26.08.2014 року № 836 «Про деякі питання затвердження програмно-цільового методу складання та виконання місцевих бюджетів», зареєстрованого в Міністерстві юстиції України 10.09.2014 року за № 1103/25880 (зі змінами), забезпечити розробку проектів паспортів бюджетних програм і надати їх на затвердження протягом  30 днів після набрання чинності цим рішенням.</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lastRenderedPageBreak/>
              <w:t>13.6. Забезпечити доступності інформації про бюджет відповідно до законодавства, а саме:</w:t>
            </w:r>
          </w:p>
        </w:tc>
      </w:tr>
      <w:tr w:rsidR="003E1A94" w:rsidRPr="003E1A94" w:rsidTr="003E1A94">
        <w:trPr>
          <w:trHeight w:val="94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здіснення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15.03.2020 року;</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оприлюднення паспортів бюджетних програм у триденний строк з дня затвердження таких документів.</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14.</w:t>
            </w:r>
            <w:r w:rsidRPr="003E1A94">
              <w:rPr>
                <w:rFonts w:ascii="Times New Roman" w:eastAsia="Times New Roman" w:hAnsi="Times New Roman" w:cs="Times New Roman"/>
                <w:color w:val="000000"/>
                <w:sz w:val="24"/>
                <w:szCs w:val="24"/>
                <w:lang w:eastAsia="ru-RU"/>
              </w:rPr>
              <w:t>   Фінансовому управлінню міської ради:</w:t>
            </w: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 видатки, пов’язані з утриманням бюджетних установ, фінансувати за відсутності  заборгованості із заробітної плати, а також за спожиті комунальні послуги та енергоносії;</w:t>
            </w: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кошти на інші видатки виділяти лише за наявності забезпечення реальних надходжень бюджету;</w:t>
            </w:r>
          </w:p>
        </w:tc>
      </w:tr>
      <w:tr w:rsidR="003E1A94" w:rsidRPr="003E1A94" w:rsidTr="003E1A94">
        <w:trPr>
          <w:trHeight w:val="630"/>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 кошти з міського бюджету виділяти в межах зареєстрованих розпорядниками коштів бюджетних зобов’язань в органах державного казначейства на підставі замовлень головних розпорядників коштів;</w:t>
            </w:r>
          </w:p>
        </w:tc>
      </w:tr>
      <w:tr w:rsidR="003E1A94" w:rsidRPr="003E1A94" w:rsidTr="003E1A94">
        <w:trPr>
          <w:trHeight w:val="94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color w:val="000000"/>
                <w:sz w:val="24"/>
                <w:szCs w:val="24"/>
                <w:lang w:eastAsia="ru-RU"/>
              </w:rPr>
              <w:t>     - у разі  внесення Міністерством фінансів України змін та доповнень до бюджетної класифікації, у частині присвоєння окремим трансфертам, доходам і видаткам найменувань та кодів класифікації, враховувати під час складання і виконання розпису міського бюджету на 2020 рік.</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94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15.</w:t>
            </w:r>
            <w:r w:rsidRPr="003E1A94">
              <w:rPr>
                <w:rFonts w:ascii="Times New Roman" w:eastAsia="Times New Roman" w:hAnsi="Times New Roman" w:cs="Times New Roman"/>
                <w:color w:val="000000"/>
                <w:sz w:val="24"/>
                <w:szCs w:val="24"/>
                <w:lang w:eastAsia="ru-RU"/>
              </w:rPr>
              <w:t> Делегувати повноваження міському голові в міжсесійний період вносити зміни по доходах і видатках міського бюджету на 2020 рік при одержанні субвенції з державного, обласного,  інших місцевих бюджетів  з наступним затвердженням внесених змін на сесії міської ради.</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16.  </w:t>
            </w:r>
            <w:r w:rsidRPr="003E1A94">
              <w:rPr>
                <w:rFonts w:ascii="Times New Roman" w:eastAsia="Times New Roman" w:hAnsi="Times New Roman" w:cs="Times New Roman"/>
                <w:color w:val="000000"/>
                <w:sz w:val="24"/>
                <w:szCs w:val="24"/>
                <w:lang w:eastAsia="ru-RU"/>
              </w:rPr>
              <w:t> Додатки № 1-7 до цього рішення є його невід’ємною частиною.</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630"/>
        </w:trPr>
        <w:tc>
          <w:tcPr>
            <w:tcW w:w="13120" w:type="dxa"/>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17</w:t>
            </w:r>
            <w:r w:rsidRPr="003E1A94">
              <w:rPr>
                <w:rFonts w:ascii="Times New Roman" w:eastAsia="Times New Roman" w:hAnsi="Times New Roman" w:cs="Times New Roman"/>
                <w:color w:val="000000"/>
                <w:sz w:val="24"/>
                <w:szCs w:val="24"/>
                <w:lang w:eastAsia="ru-RU"/>
              </w:rPr>
              <w:t>. Контроль за виконанням даного рішення покласти на постійну комісію з питань планування, бюджету, фінансів та регуляторної політики (голова Волчанський В.М.).</w:t>
            </w:r>
          </w:p>
        </w:tc>
      </w:tr>
      <w:tr w:rsidR="003E1A94" w:rsidRPr="003E1A94" w:rsidTr="003E1A94">
        <w:trPr>
          <w:trHeight w:val="31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r w:rsidR="003E1A94" w:rsidRPr="003E1A94" w:rsidTr="003E1A94">
        <w:trPr>
          <w:trHeight w:val="315"/>
        </w:trPr>
        <w:tc>
          <w:tcPr>
            <w:tcW w:w="0" w:type="auto"/>
            <w:tcBorders>
              <w:top w:val="nil"/>
              <w:left w:val="nil"/>
              <w:bottom w:val="nil"/>
              <w:right w:val="nil"/>
            </w:tcBorders>
            <w:shd w:val="clear" w:color="auto" w:fill="auto"/>
            <w:vAlign w:val="center"/>
            <w:hideMark/>
          </w:tcPr>
          <w:p w:rsidR="003E1A94" w:rsidRPr="003E1A94" w:rsidRDefault="003E1A94" w:rsidP="003E1A94">
            <w:pPr>
              <w:spacing w:after="0" w:line="240" w:lineRule="auto"/>
              <w:rPr>
                <w:rFonts w:ascii="Arial" w:eastAsia="Times New Roman" w:hAnsi="Arial" w:cs="Arial"/>
                <w:color w:val="333333"/>
                <w:sz w:val="10"/>
                <w:szCs w:val="10"/>
                <w:lang w:eastAsia="ru-RU"/>
              </w:rPr>
            </w:pPr>
            <w:r w:rsidRPr="003E1A94">
              <w:rPr>
                <w:rFonts w:ascii="Times New Roman" w:eastAsia="Times New Roman" w:hAnsi="Times New Roman" w:cs="Times New Roman"/>
                <w:b/>
                <w:bCs/>
                <w:color w:val="000000"/>
                <w:sz w:val="24"/>
                <w:szCs w:val="24"/>
                <w:lang w:eastAsia="ru-RU"/>
              </w:rPr>
              <w:t>СЕКРЕТАР РАДИ                 Ірина КРАВЕЦЬ</w:t>
            </w:r>
          </w:p>
        </w:tc>
      </w:tr>
      <w:tr w:rsidR="003E1A94" w:rsidRPr="003E1A94" w:rsidTr="003E1A94">
        <w:trPr>
          <w:trHeight w:val="255"/>
        </w:trPr>
        <w:tc>
          <w:tcPr>
            <w:tcW w:w="0" w:type="auto"/>
            <w:shd w:val="clear" w:color="auto" w:fill="FAFAFA"/>
            <w:vAlign w:val="center"/>
            <w:hideMark/>
          </w:tcPr>
          <w:p w:rsidR="003E1A94" w:rsidRPr="003E1A94" w:rsidRDefault="003E1A94" w:rsidP="003E1A94">
            <w:pPr>
              <w:spacing w:after="0" w:line="240" w:lineRule="auto"/>
              <w:rPr>
                <w:rFonts w:ascii="Times New Roman" w:eastAsia="Times New Roman" w:hAnsi="Times New Roman" w:cs="Times New Roman"/>
                <w:sz w:val="24"/>
                <w:szCs w:val="24"/>
                <w:lang w:eastAsia="ru-RU"/>
              </w:rPr>
            </w:pPr>
          </w:p>
        </w:tc>
      </w:tr>
    </w:tbl>
    <w:p w:rsidR="007925FB" w:rsidRPr="003E1A94" w:rsidRDefault="007925FB" w:rsidP="003E1A94"/>
    <w:sectPr w:rsidR="007925FB" w:rsidRPr="003E1A94" w:rsidSect="006605D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compat/>
  <w:rsids>
    <w:rsidRoot w:val="006605D1"/>
    <w:rsid w:val="000116CB"/>
    <w:rsid w:val="00074E22"/>
    <w:rsid w:val="000871ED"/>
    <w:rsid w:val="00163763"/>
    <w:rsid w:val="002838C4"/>
    <w:rsid w:val="003E1A94"/>
    <w:rsid w:val="004200CE"/>
    <w:rsid w:val="004341AD"/>
    <w:rsid w:val="00512E5C"/>
    <w:rsid w:val="00556077"/>
    <w:rsid w:val="005F66B0"/>
    <w:rsid w:val="006605D1"/>
    <w:rsid w:val="006A5486"/>
    <w:rsid w:val="007163F0"/>
    <w:rsid w:val="00786E44"/>
    <w:rsid w:val="007925FB"/>
    <w:rsid w:val="007E1FBA"/>
    <w:rsid w:val="007F6329"/>
    <w:rsid w:val="008879AB"/>
    <w:rsid w:val="009E4D48"/>
    <w:rsid w:val="00A64E7F"/>
    <w:rsid w:val="00A737F6"/>
    <w:rsid w:val="00AD279E"/>
    <w:rsid w:val="00AE1C5E"/>
    <w:rsid w:val="00C16989"/>
    <w:rsid w:val="00C25407"/>
    <w:rsid w:val="00C26B16"/>
    <w:rsid w:val="00EA561A"/>
    <w:rsid w:val="00F255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5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605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605D1"/>
    <w:rPr>
      <w:b/>
      <w:bCs/>
    </w:rPr>
  </w:style>
  <w:style w:type="character" w:styleId="a5">
    <w:name w:val="Emphasis"/>
    <w:basedOn w:val="a0"/>
    <w:uiPriority w:val="20"/>
    <w:qFormat/>
    <w:rsid w:val="006605D1"/>
    <w:rPr>
      <w:i/>
      <w:iCs/>
    </w:rPr>
  </w:style>
  <w:style w:type="paragraph" w:styleId="a6">
    <w:name w:val="Balloon Text"/>
    <w:basedOn w:val="a"/>
    <w:link w:val="a7"/>
    <w:uiPriority w:val="99"/>
    <w:semiHidden/>
    <w:unhideWhenUsed/>
    <w:rsid w:val="006605D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605D1"/>
    <w:rPr>
      <w:rFonts w:ascii="Tahoma" w:hAnsi="Tahoma" w:cs="Tahoma"/>
      <w:sz w:val="16"/>
      <w:szCs w:val="16"/>
    </w:rPr>
  </w:style>
  <w:style w:type="character" w:customStyle="1" w:styleId="articleseperator">
    <w:name w:val="article_seperator"/>
    <w:basedOn w:val="a0"/>
    <w:rsid w:val="00163763"/>
  </w:style>
</w:styles>
</file>

<file path=word/webSettings.xml><?xml version="1.0" encoding="utf-8"?>
<w:webSettings xmlns:r="http://schemas.openxmlformats.org/officeDocument/2006/relationships" xmlns:w="http://schemas.openxmlformats.org/wordprocessingml/2006/main">
  <w:divs>
    <w:div w:id="76754260">
      <w:bodyDiv w:val="1"/>
      <w:marLeft w:val="0"/>
      <w:marRight w:val="0"/>
      <w:marTop w:val="0"/>
      <w:marBottom w:val="0"/>
      <w:divBdr>
        <w:top w:val="none" w:sz="0" w:space="0" w:color="auto"/>
        <w:left w:val="none" w:sz="0" w:space="0" w:color="auto"/>
        <w:bottom w:val="none" w:sz="0" w:space="0" w:color="auto"/>
        <w:right w:val="none" w:sz="0" w:space="0" w:color="auto"/>
      </w:divBdr>
    </w:div>
    <w:div w:id="125398465">
      <w:bodyDiv w:val="1"/>
      <w:marLeft w:val="0"/>
      <w:marRight w:val="0"/>
      <w:marTop w:val="0"/>
      <w:marBottom w:val="0"/>
      <w:divBdr>
        <w:top w:val="none" w:sz="0" w:space="0" w:color="auto"/>
        <w:left w:val="none" w:sz="0" w:space="0" w:color="auto"/>
        <w:bottom w:val="none" w:sz="0" w:space="0" w:color="auto"/>
        <w:right w:val="none" w:sz="0" w:space="0" w:color="auto"/>
      </w:divBdr>
    </w:div>
    <w:div w:id="143856896">
      <w:bodyDiv w:val="1"/>
      <w:marLeft w:val="0"/>
      <w:marRight w:val="0"/>
      <w:marTop w:val="0"/>
      <w:marBottom w:val="0"/>
      <w:divBdr>
        <w:top w:val="none" w:sz="0" w:space="0" w:color="auto"/>
        <w:left w:val="none" w:sz="0" w:space="0" w:color="auto"/>
        <w:bottom w:val="none" w:sz="0" w:space="0" w:color="auto"/>
        <w:right w:val="none" w:sz="0" w:space="0" w:color="auto"/>
      </w:divBdr>
    </w:div>
    <w:div w:id="183519266">
      <w:bodyDiv w:val="1"/>
      <w:marLeft w:val="0"/>
      <w:marRight w:val="0"/>
      <w:marTop w:val="0"/>
      <w:marBottom w:val="0"/>
      <w:divBdr>
        <w:top w:val="none" w:sz="0" w:space="0" w:color="auto"/>
        <w:left w:val="none" w:sz="0" w:space="0" w:color="auto"/>
        <w:bottom w:val="none" w:sz="0" w:space="0" w:color="auto"/>
        <w:right w:val="none" w:sz="0" w:space="0" w:color="auto"/>
      </w:divBdr>
    </w:div>
    <w:div w:id="215246373">
      <w:bodyDiv w:val="1"/>
      <w:marLeft w:val="0"/>
      <w:marRight w:val="0"/>
      <w:marTop w:val="0"/>
      <w:marBottom w:val="0"/>
      <w:divBdr>
        <w:top w:val="none" w:sz="0" w:space="0" w:color="auto"/>
        <w:left w:val="none" w:sz="0" w:space="0" w:color="auto"/>
        <w:bottom w:val="none" w:sz="0" w:space="0" w:color="auto"/>
        <w:right w:val="none" w:sz="0" w:space="0" w:color="auto"/>
      </w:divBdr>
    </w:div>
    <w:div w:id="284317678">
      <w:bodyDiv w:val="1"/>
      <w:marLeft w:val="0"/>
      <w:marRight w:val="0"/>
      <w:marTop w:val="0"/>
      <w:marBottom w:val="0"/>
      <w:divBdr>
        <w:top w:val="none" w:sz="0" w:space="0" w:color="auto"/>
        <w:left w:val="none" w:sz="0" w:space="0" w:color="auto"/>
        <w:bottom w:val="none" w:sz="0" w:space="0" w:color="auto"/>
        <w:right w:val="none" w:sz="0" w:space="0" w:color="auto"/>
      </w:divBdr>
    </w:div>
    <w:div w:id="291979485">
      <w:bodyDiv w:val="1"/>
      <w:marLeft w:val="0"/>
      <w:marRight w:val="0"/>
      <w:marTop w:val="0"/>
      <w:marBottom w:val="0"/>
      <w:divBdr>
        <w:top w:val="none" w:sz="0" w:space="0" w:color="auto"/>
        <w:left w:val="none" w:sz="0" w:space="0" w:color="auto"/>
        <w:bottom w:val="none" w:sz="0" w:space="0" w:color="auto"/>
        <w:right w:val="none" w:sz="0" w:space="0" w:color="auto"/>
      </w:divBdr>
    </w:div>
    <w:div w:id="377705955">
      <w:bodyDiv w:val="1"/>
      <w:marLeft w:val="0"/>
      <w:marRight w:val="0"/>
      <w:marTop w:val="0"/>
      <w:marBottom w:val="0"/>
      <w:divBdr>
        <w:top w:val="none" w:sz="0" w:space="0" w:color="auto"/>
        <w:left w:val="none" w:sz="0" w:space="0" w:color="auto"/>
        <w:bottom w:val="none" w:sz="0" w:space="0" w:color="auto"/>
        <w:right w:val="none" w:sz="0" w:space="0" w:color="auto"/>
      </w:divBdr>
    </w:div>
    <w:div w:id="393890473">
      <w:bodyDiv w:val="1"/>
      <w:marLeft w:val="0"/>
      <w:marRight w:val="0"/>
      <w:marTop w:val="0"/>
      <w:marBottom w:val="0"/>
      <w:divBdr>
        <w:top w:val="none" w:sz="0" w:space="0" w:color="auto"/>
        <w:left w:val="none" w:sz="0" w:space="0" w:color="auto"/>
        <w:bottom w:val="none" w:sz="0" w:space="0" w:color="auto"/>
        <w:right w:val="none" w:sz="0" w:space="0" w:color="auto"/>
      </w:divBdr>
    </w:div>
    <w:div w:id="625426530">
      <w:bodyDiv w:val="1"/>
      <w:marLeft w:val="0"/>
      <w:marRight w:val="0"/>
      <w:marTop w:val="0"/>
      <w:marBottom w:val="0"/>
      <w:divBdr>
        <w:top w:val="none" w:sz="0" w:space="0" w:color="auto"/>
        <w:left w:val="none" w:sz="0" w:space="0" w:color="auto"/>
        <w:bottom w:val="none" w:sz="0" w:space="0" w:color="auto"/>
        <w:right w:val="none" w:sz="0" w:space="0" w:color="auto"/>
      </w:divBdr>
    </w:div>
    <w:div w:id="693308226">
      <w:bodyDiv w:val="1"/>
      <w:marLeft w:val="0"/>
      <w:marRight w:val="0"/>
      <w:marTop w:val="0"/>
      <w:marBottom w:val="0"/>
      <w:divBdr>
        <w:top w:val="none" w:sz="0" w:space="0" w:color="auto"/>
        <w:left w:val="none" w:sz="0" w:space="0" w:color="auto"/>
        <w:bottom w:val="none" w:sz="0" w:space="0" w:color="auto"/>
        <w:right w:val="none" w:sz="0" w:space="0" w:color="auto"/>
      </w:divBdr>
    </w:div>
    <w:div w:id="775756214">
      <w:bodyDiv w:val="1"/>
      <w:marLeft w:val="0"/>
      <w:marRight w:val="0"/>
      <w:marTop w:val="0"/>
      <w:marBottom w:val="0"/>
      <w:divBdr>
        <w:top w:val="none" w:sz="0" w:space="0" w:color="auto"/>
        <w:left w:val="none" w:sz="0" w:space="0" w:color="auto"/>
        <w:bottom w:val="none" w:sz="0" w:space="0" w:color="auto"/>
        <w:right w:val="none" w:sz="0" w:space="0" w:color="auto"/>
      </w:divBdr>
    </w:div>
    <w:div w:id="807622993">
      <w:bodyDiv w:val="1"/>
      <w:marLeft w:val="0"/>
      <w:marRight w:val="0"/>
      <w:marTop w:val="0"/>
      <w:marBottom w:val="0"/>
      <w:divBdr>
        <w:top w:val="none" w:sz="0" w:space="0" w:color="auto"/>
        <w:left w:val="none" w:sz="0" w:space="0" w:color="auto"/>
        <w:bottom w:val="none" w:sz="0" w:space="0" w:color="auto"/>
        <w:right w:val="none" w:sz="0" w:space="0" w:color="auto"/>
      </w:divBdr>
    </w:div>
    <w:div w:id="959871234">
      <w:bodyDiv w:val="1"/>
      <w:marLeft w:val="0"/>
      <w:marRight w:val="0"/>
      <w:marTop w:val="0"/>
      <w:marBottom w:val="0"/>
      <w:divBdr>
        <w:top w:val="none" w:sz="0" w:space="0" w:color="auto"/>
        <w:left w:val="none" w:sz="0" w:space="0" w:color="auto"/>
        <w:bottom w:val="none" w:sz="0" w:space="0" w:color="auto"/>
        <w:right w:val="none" w:sz="0" w:space="0" w:color="auto"/>
      </w:divBdr>
    </w:div>
    <w:div w:id="1012924938">
      <w:bodyDiv w:val="1"/>
      <w:marLeft w:val="0"/>
      <w:marRight w:val="0"/>
      <w:marTop w:val="0"/>
      <w:marBottom w:val="0"/>
      <w:divBdr>
        <w:top w:val="none" w:sz="0" w:space="0" w:color="auto"/>
        <w:left w:val="none" w:sz="0" w:space="0" w:color="auto"/>
        <w:bottom w:val="none" w:sz="0" w:space="0" w:color="auto"/>
        <w:right w:val="none" w:sz="0" w:space="0" w:color="auto"/>
      </w:divBdr>
    </w:div>
    <w:div w:id="1028946356">
      <w:bodyDiv w:val="1"/>
      <w:marLeft w:val="0"/>
      <w:marRight w:val="0"/>
      <w:marTop w:val="0"/>
      <w:marBottom w:val="0"/>
      <w:divBdr>
        <w:top w:val="none" w:sz="0" w:space="0" w:color="auto"/>
        <w:left w:val="none" w:sz="0" w:space="0" w:color="auto"/>
        <w:bottom w:val="none" w:sz="0" w:space="0" w:color="auto"/>
        <w:right w:val="none" w:sz="0" w:space="0" w:color="auto"/>
      </w:divBdr>
    </w:div>
    <w:div w:id="1068723473">
      <w:bodyDiv w:val="1"/>
      <w:marLeft w:val="0"/>
      <w:marRight w:val="0"/>
      <w:marTop w:val="0"/>
      <w:marBottom w:val="0"/>
      <w:divBdr>
        <w:top w:val="none" w:sz="0" w:space="0" w:color="auto"/>
        <w:left w:val="none" w:sz="0" w:space="0" w:color="auto"/>
        <w:bottom w:val="none" w:sz="0" w:space="0" w:color="auto"/>
        <w:right w:val="none" w:sz="0" w:space="0" w:color="auto"/>
      </w:divBdr>
    </w:div>
    <w:div w:id="1107039984">
      <w:bodyDiv w:val="1"/>
      <w:marLeft w:val="0"/>
      <w:marRight w:val="0"/>
      <w:marTop w:val="0"/>
      <w:marBottom w:val="0"/>
      <w:divBdr>
        <w:top w:val="none" w:sz="0" w:space="0" w:color="auto"/>
        <w:left w:val="none" w:sz="0" w:space="0" w:color="auto"/>
        <w:bottom w:val="none" w:sz="0" w:space="0" w:color="auto"/>
        <w:right w:val="none" w:sz="0" w:space="0" w:color="auto"/>
      </w:divBdr>
    </w:div>
    <w:div w:id="1228538366">
      <w:bodyDiv w:val="1"/>
      <w:marLeft w:val="0"/>
      <w:marRight w:val="0"/>
      <w:marTop w:val="0"/>
      <w:marBottom w:val="0"/>
      <w:divBdr>
        <w:top w:val="none" w:sz="0" w:space="0" w:color="auto"/>
        <w:left w:val="none" w:sz="0" w:space="0" w:color="auto"/>
        <w:bottom w:val="none" w:sz="0" w:space="0" w:color="auto"/>
        <w:right w:val="none" w:sz="0" w:space="0" w:color="auto"/>
      </w:divBdr>
    </w:div>
    <w:div w:id="1258099880">
      <w:bodyDiv w:val="1"/>
      <w:marLeft w:val="0"/>
      <w:marRight w:val="0"/>
      <w:marTop w:val="0"/>
      <w:marBottom w:val="0"/>
      <w:divBdr>
        <w:top w:val="none" w:sz="0" w:space="0" w:color="auto"/>
        <w:left w:val="none" w:sz="0" w:space="0" w:color="auto"/>
        <w:bottom w:val="none" w:sz="0" w:space="0" w:color="auto"/>
        <w:right w:val="none" w:sz="0" w:space="0" w:color="auto"/>
      </w:divBdr>
    </w:div>
    <w:div w:id="1541816130">
      <w:bodyDiv w:val="1"/>
      <w:marLeft w:val="0"/>
      <w:marRight w:val="0"/>
      <w:marTop w:val="0"/>
      <w:marBottom w:val="0"/>
      <w:divBdr>
        <w:top w:val="none" w:sz="0" w:space="0" w:color="auto"/>
        <w:left w:val="none" w:sz="0" w:space="0" w:color="auto"/>
        <w:bottom w:val="none" w:sz="0" w:space="0" w:color="auto"/>
        <w:right w:val="none" w:sz="0" w:space="0" w:color="auto"/>
      </w:divBdr>
    </w:div>
    <w:div w:id="1545288135">
      <w:bodyDiv w:val="1"/>
      <w:marLeft w:val="0"/>
      <w:marRight w:val="0"/>
      <w:marTop w:val="0"/>
      <w:marBottom w:val="0"/>
      <w:divBdr>
        <w:top w:val="none" w:sz="0" w:space="0" w:color="auto"/>
        <w:left w:val="none" w:sz="0" w:space="0" w:color="auto"/>
        <w:bottom w:val="none" w:sz="0" w:space="0" w:color="auto"/>
        <w:right w:val="none" w:sz="0" w:space="0" w:color="auto"/>
      </w:divBdr>
    </w:div>
    <w:div w:id="1584685890">
      <w:bodyDiv w:val="1"/>
      <w:marLeft w:val="0"/>
      <w:marRight w:val="0"/>
      <w:marTop w:val="0"/>
      <w:marBottom w:val="0"/>
      <w:divBdr>
        <w:top w:val="none" w:sz="0" w:space="0" w:color="auto"/>
        <w:left w:val="none" w:sz="0" w:space="0" w:color="auto"/>
        <w:bottom w:val="none" w:sz="0" w:space="0" w:color="auto"/>
        <w:right w:val="none" w:sz="0" w:space="0" w:color="auto"/>
      </w:divBdr>
    </w:div>
    <w:div w:id="1597667170">
      <w:bodyDiv w:val="1"/>
      <w:marLeft w:val="0"/>
      <w:marRight w:val="0"/>
      <w:marTop w:val="0"/>
      <w:marBottom w:val="0"/>
      <w:divBdr>
        <w:top w:val="none" w:sz="0" w:space="0" w:color="auto"/>
        <w:left w:val="none" w:sz="0" w:space="0" w:color="auto"/>
        <w:bottom w:val="none" w:sz="0" w:space="0" w:color="auto"/>
        <w:right w:val="none" w:sz="0" w:space="0" w:color="auto"/>
      </w:divBdr>
    </w:div>
    <w:div w:id="1735156448">
      <w:bodyDiv w:val="1"/>
      <w:marLeft w:val="0"/>
      <w:marRight w:val="0"/>
      <w:marTop w:val="0"/>
      <w:marBottom w:val="0"/>
      <w:divBdr>
        <w:top w:val="none" w:sz="0" w:space="0" w:color="auto"/>
        <w:left w:val="none" w:sz="0" w:space="0" w:color="auto"/>
        <w:bottom w:val="none" w:sz="0" w:space="0" w:color="auto"/>
        <w:right w:val="none" w:sz="0" w:space="0" w:color="auto"/>
      </w:divBdr>
    </w:div>
    <w:div w:id="2023824651">
      <w:bodyDiv w:val="1"/>
      <w:marLeft w:val="0"/>
      <w:marRight w:val="0"/>
      <w:marTop w:val="0"/>
      <w:marBottom w:val="0"/>
      <w:divBdr>
        <w:top w:val="none" w:sz="0" w:space="0" w:color="auto"/>
        <w:left w:val="none" w:sz="0" w:space="0" w:color="auto"/>
        <w:bottom w:val="none" w:sz="0" w:space="0" w:color="auto"/>
        <w:right w:val="none" w:sz="0" w:space="0" w:color="auto"/>
      </w:divBdr>
    </w:div>
    <w:div w:id="2029866378">
      <w:bodyDiv w:val="1"/>
      <w:marLeft w:val="0"/>
      <w:marRight w:val="0"/>
      <w:marTop w:val="0"/>
      <w:marBottom w:val="0"/>
      <w:divBdr>
        <w:top w:val="none" w:sz="0" w:space="0" w:color="auto"/>
        <w:left w:val="none" w:sz="0" w:space="0" w:color="auto"/>
        <w:bottom w:val="none" w:sz="0" w:space="0" w:color="auto"/>
        <w:right w:val="none" w:sz="0" w:space="0" w:color="auto"/>
      </w:divBdr>
    </w:div>
    <w:div w:id="2046130076">
      <w:bodyDiv w:val="1"/>
      <w:marLeft w:val="0"/>
      <w:marRight w:val="0"/>
      <w:marTop w:val="0"/>
      <w:marBottom w:val="0"/>
      <w:divBdr>
        <w:top w:val="none" w:sz="0" w:space="0" w:color="auto"/>
        <w:left w:val="none" w:sz="0" w:space="0" w:color="auto"/>
        <w:bottom w:val="none" w:sz="0" w:space="0" w:color="auto"/>
        <w:right w:val="none" w:sz="0" w:space="0" w:color="auto"/>
      </w:divBdr>
    </w:div>
    <w:div w:id="214342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1460</Words>
  <Characters>8326</Characters>
  <Application>Microsoft Office Word</Application>
  <DocSecurity>0</DocSecurity>
  <Lines>69</Lines>
  <Paragraphs>19</Paragraphs>
  <ScaleCrop>false</ScaleCrop>
  <Company/>
  <LinksUpToDate>false</LinksUpToDate>
  <CharactersWithSpaces>9767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2021-12-20T13:47:00Z</dcterms:created>
  <dcterms:modified xsi:type="dcterms:W3CDTF">2021-12-20T13:47:00Z</dcterms:modified>
</cp:coreProperties>
</file>