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BAA" w:rsidRPr="00120BAA" w:rsidRDefault="00120BAA" w:rsidP="00120BAA">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23" name="Рисунок 12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120BAA" w:rsidRPr="00120BAA" w:rsidRDefault="00120BAA" w:rsidP="00120BAA">
      <w:pPr>
        <w:spacing w:after="0" w:line="240" w:lineRule="auto"/>
        <w:rPr>
          <w:rFonts w:ascii="Times New Roman" w:eastAsia="Times New Roman" w:hAnsi="Times New Roman" w:cs="Times New Roman"/>
          <w:sz w:val="24"/>
          <w:szCs w:val="24"/>
          <w:lang w:eastAsia="ru-RU"/>
        </w:rPr>
      </w:pPr>
      <w:r w:rsidRPr="00120BAA">
        <w:rPr>
          <w:rFonts w:ascii="Arial" w:eastAsia="Times New Roman" w:hAnsi="Arial" w:cs="Arial"/>
          <w:color w:val="333333"/>
          <w:sz w:val="10"/>
          <w:szCs w:val="10"/>
          <w:lang w:eastAsia="ru-RU"/>
        </w:rPr>
        <w:br/>
      </w:r>
    </w:p>
    <w:p w:rsidR="00120BAA" w:rsidRPr="00120BAA" w:rsidRDefault="00120BAA" w:rsidP="00120BAA">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НОВОРОЗДІЛЬСЬКА МІСЬКА РАДА</w:t>
      </w:r>
      <w:r w:rsidRPr="00120BAA">
        <w:rPr>
          <w:rFonts w:ascii="Arial" w:eastAsia="Times New Roman" w:hAnsi="Arial" w:cs="Arial"/>
          <w:color w:val="333333"/>
          <w:sz w:val="10"/>
          <w:szCs w:val="10"/>
          <w:lang w:eastAsia="ru-RU"/>
        </w:rPr>
        <w:br/>
        <w:t>ЛЬВІВСЬКОЇ ОБЛАСТІ</w:t>
      </w:r>
      <w:r w:rsidRPr="00120BAA">
        <w:rPr>
          <w:rFonts w:ascii="Arial" w:eastAsia="Times New Roman" w:hAnsi="Arial" w:cs="Arial"/>
          <w:color w:val="333333"/>
          <w:sz w:val="10"/>
          <w:szCs w:val="10"/>
          <w:lang w:eastAsia="ru-RU"/>
        </w:rPr>
        <w:br/>
        <w:t>ВИКОНАВЧИЙ КОМІТЕТ</w:t>
      </w:r>
      <w:r w:rsidRPr="00120BAA">
        <w:rPr>
          <w:rFonts w:ascii="Arial" w:eastAsia="Times New Roman" w:hAnsi="Arial" w:cs="Arial"/>
          <w:color w:val="333333"/>
          <w:sz w:val="10"/>
          <w:szCs w:val="10"/>
          <w:lang w:eastAsia="ru-RU"/>
        </w:rPr>
        <w:br/>
        <w:t>РІШЕННЯ № </w:t>
      </w:r>
      <w:r w:rsidRPr="00120BAA">
        <w:rPr>
          <w:rFonts w:ascii="Arial" w:eastAsia="Times New Roman" w:hAnsi="Arial" w:cs="Arial"/>
          <w:b/>
          <w:bCs/>
          <w:color w:val="333333"/>
          <w:sz w:val="10"/>
          <w:lang w:eastAsia="ru-RU"/>
        </w:rPr>
        <w:t>197</w:t>
      </w:r>
    </w:p>
    <w:tbl>
      <w:tblPr>
        <w:tblW w:w="13460" w:type="dxa"/>
        <w:shd w:val="clear" w:color="auto" w:fill="FAFAFA"/>
        <w:tblCellMar>
          <w:left w:w="0" w:type="dxa"/>
          <w:right w:w="0" w:type="dxa"/>
        </w:tblCellMar>
        <w:tblLook w:val="04A0"/>
      </w:tblPr>
      <w:tblGrid>
        <w:gridCol w:w="13460"/>
      </w:tblGrid>
      <w:tr w:rsidR="00120BAA" w:rsidRPr="00120BAA" w:rsidTr="00120BAA">
        <w:tc>
          <w:tcPr>
            <w:tcW w:w="0" w:type="auto"/>
            <w:shd w:val="clear" w:color="auto" w:fill="FAFAFA"/>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bl>
    <w:p w:rsidR="00120BAA" w:rsidRPr="00120BAA" w:rsidRDefault="00120BAA" w:rsidP="00120BAA">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120BAA" w:rsidRPr="00120BAA" w:rsidTr="00120BAA">
        <w:tc>
          <w:tcPr>
            <w:tcW w:w="0" w:type="auto"/>
            <w:shd w:val="clear" w:color="auto" w:fill="FAFAFA"/>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bl>
    <w:p w:rsidR="00120BAA" w:rsidRPr="00120BAA" w:rsidRDefault="00120BAA" w:rsidP="00120BAA">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120BAA" w:rsidRPr="00120BAA" w:rsidTr="00120BAA">
        <w:tc>
          <w:tcPr>
            <w:tcW w:w="0" w:type="auto"/>
            <w:shd w:val="clear" w:color="auto" w:fill="FAFAFA"/>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bl>
    <w:p w:rsidR="00120BAA" w:rsidRPr="00120BAA" w:rsidRDefault="00120BAA" w:rsidP="00120BAA">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120BAA" w:rsidRPr="00120BAA" w:rsidTr="00120BAA">
        <w:tc>
          <w:tcPr>
            <w:tcW w:w="0" w:type="auto"/>
            <w:shd w:val="clear" w:color="auto" w:fill="FAFAFA"/>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bl>
    <w:p w:rsidR="00120BAA" w:rsidRPr="00120BAA" w:rsidRDefault="00120BAA" w:rsidP="00120BAA">
      <w:pPr>
        <w:spacing w:after="0" w:line="240" w:lineRule="auto"/>
        <w:rPr>
          <w:rFonts w:ascii="Times New Roman" w:eastAsia="Times New Roman" w:hAnsi="Times New Roman" w:cs="Times New Roman"/>
          <w:vanish/>
          <w:sz w:val="24"/>
          <w:szCs w:val="24"/>
          <w:lang w:eastAsia="ru-RU"/>
        </w:rPr>
      </w:pPr>
    </w:p>
    <w:tbl>
      <w:tblPr>
        <w:tblW w:w="9580" w:type="dxa"/>
        <w:shd w:val="clear" w:color="auto" w:fill="FAFAFA"/>
        <w:tblCellMar>
          <w:left w:w="0" w:type="dxa"/>
          <w:right w:w="0" w:type="dxa"/>
        </w:tblCellMar>
        <w:tblLook w:val="04A0"/>
      </w:tblPr>
      <w:tblGrid>
        <w:gridCol w:w="9580"/>
      </w:tblGrid>
      <w:tr w:rsidR="00120BAA" w:rsidRPr="00120BAA" w:rsidTr="00120BAA">
        <w:trPr>
          <w:trHeight w:val="315"/>
        </w:trPr>
        <w:tc>
          <w:tcPr>
            <w:tcW w:w="9580" w:type="dxa"/>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13 травня</w:t>
            </w:r>
            <w:r w:rsidRPr="00120BAA">
              <w:rPr>
                <w:rFonts w:ascii="Times New Roman" w:eastAsia="Times New Roman" w:hAnsi="Times New Roman" w:cs="Times New Roman"/>
                <w:b/>
                <w:bCs/>
                <w:color w:val="000000"/>
                <w:sz w:val="24"/>
                <w:szCs w:val="24"/>
                <w:lang w:eastAsia="ru-RU"/>
              </w:rPr>
              <w:t> </w:t>
            </w:r>
            <w:r w:rsidRPr="00120BAA">
              <w:rPr>
                <w:rFonts w:ascii="Times New Roman" w:eastAsia="Times New Roman" w:hAnsi="Times New Roman" w:cs="Times New Roman"/>
                <w:color w:val="000000"/>
                <w:sz w:val="24"/>
                <w:szCs w:val="24"/>
                <w:lang w:eastAsia="ru-RU"/>
              </w:rPr>
              <w:t> 2010 року</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b/>
                <w:bCs/>
                <w:i/>
                <w:iCs/>
                <w:color w:val="000000"/>
                <w:sz w:val="24"/>
                <w:szCs w:val="24"/>
                <w:lang w:eastAsia="ru-RU"/>
              </w:rPr>
              <w:t>Про  погодження проекту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b/>
                <w:bCs/>
                <w:i/>
                <w:iCs/>
                <w:color w:val="000000"/>
                <w:sz w:val="24"/>
                <w:szCs w:val="24"/>
                <w:lang w:eastAsia="ru-RU"/>
              </w:rPr>
              <w:t>бюджету  міста на 2010 рік</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Заслухавши та обговоривши доповідь начальника фінансового управління  </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Ричагівського І. І.  про проект міського бюджету  на 2010 рік, відповідно до Бюджетного Кодексу України, Державного бюджету України на 2010 рік, п. п. 1 п. “а” ст. 28, п.1, ч.2,</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ст. 52, ч 6, ст. 59 , ч.1, ст. 73 Закону України “Про місцеве самоврядування в Україні”, виконавчий комітет Новороздільської міської ради</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b/>
                <w:bCs/>
                <w:color w:val="000000"/>
                <w:sz w:val="24"/>
                <w:szCs w:val="24"/>
                <w:lang w:eastAsia="ru-RU"/>
              </w:rPr>
              <w:t>В И Р І Ш И В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1  Погодити проект бюджету міста на 2010 рік  згідно з Додатком.</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2 Начальнику фінансового управління міської ради  Ричагівському І. І. погоджений проект міського бюджету на 2010 рік подати на затвердження  сесії міської ради. </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3 Контроль за виконанням даного рішення покласти на першого заступника міського голови Нікітіна М. К.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b/>
                <w:bCs/>
                <w:color w:val="000000"/>
                <w:sz w:val="24"/>
                <w:szCs w:val="24"/>
                <w:lang w:eastAsia="ru-RU"/>
              </w:rPr>
              <w:t>МІСЬКИЙ ГОЛОВА                                                                            Володимир  ТУЗ</w:t>
            </w:r>
          </w:p>
        </w:tc>
      </w:tr>
      <w:tr w:rsidR="00120BAA" w:rsidRPr="00120BAA" w:rsidTr="00120BAA">
        <w:trPr>
          <w:trHeight w:val="330"/>
        </w:trPr>
        <w:tc>
          <w:tcPr>
            <w:tcW w:w="0" w:type="auto"/>
            <w:tcBorders>
              <w:top w:val="nil"/>
              <w:left w:val="nil"/>
              <w:bottom w:val="nil"/>
              <w:right w:val="nil"/>
            </w:tcBorders>
            <w:shd w:val="clear" w:color="auto" w:fill="auto"/>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r w:rsidR="00120BAA" w:rsidRPr="00120BAA" w:rsidTr="00120BAA">
        <w:trPr>
          <w:trHeight w:val="330"/>
        </w:trPr>
        <w:tc>
          <w:tcPr>
            <w:tcW w:w="0" w:type="auto"/>
            <w:tcBorders>
              <w:top w:val="nil"/>
              <w:left w:val="nil"/>
              <w:bottom w:val="nil"/>
              <w:right w:val="nil"/>
            </w:tcBorders>
            <w:shd w:val="clear" w:color="auto" w:fill="auto"/>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jc w:val="center"/>
              <w:rPr>
                <w:rFonts w:ascii="Arial" w:eastAsia="Times New Roman" w:hAnsi="Arial" w:cs="Arial"/>
                <w:color w:val="333333"/>
                <w:sz w:val="10"/>
                <w:szCs w:val="10"/>
                <w:lang w:eastAsia="ru-RU"/>
              </w:rPr>
            </w:pPr>
            <w:r w:rsidRPr="00120BAA">
              <w:rPr>
                <w:rFonts w:ascii="Times New Roman" w:eastAsia="Times New Roman" w:hAnsi="Times New Roman" w:cs="Times New Roman"/>
                <w:b/>
                <w:bCs/>
                <w:color w:val="000000"/>
                <w:sz w:val="24"/>
                <w:szCs w:val="24"/>
                <w:lang w:eastAsia="ru-RU"/>
              </w:rPr>
              <w:t>ФІНАНСОВЕ УПРАВЛІННЯ</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jc w:val="center"/>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81652, м. Новий Розділ, вул. Грушевського, 24, тел.2-22-33.</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jc w:val="center"/>
              <w:rPr>
                <w:rFonts w:ascii="Arial" w:eastAsia="Times New Roman" w:hAnsi="Arial" w:cs="Arial"/>
                <w:color w:val="333333"/>
                <w:sz w:val="10"/>
                <w:szCs w:val="10"/>
                <w:lang w:eastAsia="ru-RU"/>
              </w:rPr>
            </w:pPr>
            <w:r w:rsidRPr="00120BAA">
              <w:rPr>
                <w:rFonts w:ascii="Times New Roman" w:eastAsia="Times New Roman" w:hAnsi="Times New Roman" w:cs="Times New Roman"/>
                <w:b/>
                <w:bCs/>
                <w:i/>
                <w:iCs/>
                <w:color w:val="000000"/>
                <w:sz w:val="24"/>
                <w:szCs w:val="24"/>
                <w:lang w:eastAsia="ru-RU"/>
              </w:rPr>
              <w:t>Пояснювальна записка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jc w:val="center"/>
              <w:rPr>
                <w:rFonts w:ascii="Arial" w:eastAsia="Times New Roman" w:hAnsi="Arial" w:cs="Arial"/>
                <w:color w:val="333333"/>
                <w:sz w:val="10"/>
                <w:szCs w:val="10"/>
                <w:lang w:eastAsia="ru-RU"/>
              </w:rPr>
            </w:pPr>
            <w:r w:rsidRPr="00120BAA">
              <w:rPr>
                <w:rFonts w:ascii="Times New Roman" w:eastAsia="Times New Roman" w:hAnsi="Times New Roman" w:cs="Times New Roman"/>
                <w:b/>
                <w:bCs/>
                <w:i/>
                <w:iCs/>
                <w:color w:val="000000"/>
                <w:sz w:val="24"/>
                <w:szCs w:val="24"/>
                <w:lang w:eastAsia="ru-RU"/>
              </w:rPr>
              <w:t>до бюджету Новороздільської міської ради на 2010 р.</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p>
        </w:tc>
      </w:tr>
      <w:tr w:rsidR="00120BAA" w:rsidRPr="00120BAA" w:rsidTr="00120BAA">
        <w:trPr>
          <w:trHeight w:val="126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    З міського бюджету проводиться фінансування органів місцевого самоврядування, освітніх закладів міста, установ культури, фізичної культури і спорту, соціальні виплати громадянам, благоустрою міста, капітальний ремонт житлового фонду, надається фінансова підтримка редакції міської газети „Вісник Розділля”.</w:t>
            </w:r>
          </w:p>
        </w:tc>
      </w:tr>
      <w:tr w:rsidR="00120BAA" w:rsidRPr="00120BAA" w:rsidTr="00120BAA">
        <w:trPr>
          <w:trHeight w:val="126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Міський бюджет на 2010 рік розроблено відповідно до вимог Бюджетного кодексу України, Закону „Про Державний бюджет України на 2010р.” та інших законодавчих актів, що визначають порядок формування  дохідної та видаткової частини місцевих  бюджетів, з врахуванням виконання міського бюджету за 2009 рік.</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Бюджет міста затверджений без дефіциту, видатки повністю покриваються доходами, вільні залишки на 01.01.2010 року </w:t>
            </w:r>
            <w:r w:rsidRPr="00120BAA">
              <w:rPr>
                <w:rFonts w:ascii="Times New Roman" w:eastAsia="Times New Roman" w:hAnsi="Times New Roman" w:cs="Times New Roman"/>
                <w:color w:val="FF6600"/>
                <w:sz w:val="24"/>
                <w:szCs w:val="24"/>
                <w:lang w:eastAsia="ru-RU"/>
              </w:rPr>
              <w:t>не спрямовувались.</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      Оборотна косова готівка затверджена на 2010рік в сумі 600 тис.грн. Резервний фонд в сумі 30 тис. грн.</w:t>
            </w:r>
          </w:p>
        </w:tc>
      </w:tr>
      <w:tr w:rsidR="00120BAA" w:rsidRPr="00120BAA" w:rsidTr="00120BAA">
        <w:trPr>
          <w:trHeight w:val="189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Проектом забезпечено виконання Закону  про державний бюджет на 2010 рік, згідно з якою усі місцеві ради при затвердженні бюджетів повинні передбачити у повному обсязі асигнування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При затвердженні міського бюджету на 2010 рік забезпечено в повному обсязі асигнування на оплату праці по всіх галузях.</w:t>
            </w:r>
          </w:p>
        </w:tc>
      </w:tr>
      <w:tr w:rsidR="00120BAA" w:rsidRPr="00120BAA" w:rsidTr="00120BAA">
        <w:trPr>
          <w:trHeight w:val="189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lastRenderedPageBreak/>
              <w:t> Розрахунок фонду оплати праці з нарахуваннями працівників бюджетної сфери здійснено в умовах дії ІІІ етапу Єдиної тарифної сітки та виходячи з розміру посадового окладу працівника І тарифного розряду – з 01.01.2010р. - 555 грн., з 01.04.2010р. – 567, з 01.07.2010р. – 570, з 01.10.2010р. – 586, з 01.12.2010р. - 600 та враховано доплату до посадових окладів працівникам бюджетної сфери, у яких посадовий оклад менший за розмір мінімальної заробітної плати.</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Повністю плануються також асигнування на проведення розрахунків за електричну і теплову енергію, водопостачання, водовідведення, природний газ та послуги зв’язку.</w:t>
            </w:r>
          </w:p>
        </w:tc>
      </w:tr>
      <w:tr w:rsidR="00120BAA" w:rsidRPr="00120BAA" w:rsidTr="00120BAA">
        <w:trPr>
          <w:trHeight w:val="126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 Дотримання порядку першочергового фінансування видатків по захищених статтях розпорядниками бюджетних коштів сприятиме виконанню вимог закону щодо недопущення будь-якої заборгованості з оплати праці та спожитих бюджетними установами енергоносіїв і житлово-комунальних послуг.</w:t>
            </w:r>
          </w:p>
        </w:tc>
      </w:tr>
      <w:tr w:rsidR="00120BAA" w:rsidRPr="00120BAA" w:rsidTr="00120BAA">
        <w:trPr>
          <w:trHeight w:val="252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Зростають видатки на утримання установ та фінансування заходів в соціально-культурній сфері. Зокрема на забезпечення діяльності </w:t>
            </w:r>
            <w:r w:rsidRPr="00120BAA">
              <w:rPr>
                <w:rFonts w:ascii="Times New Roman" w:eastAsia="Times New Roman" w:hAnsi="Times New Roman" w:cs="Times New Roman"/>
                <w:b/>
                <w:bCs/>
                <w:color w:val="000000"/>
                <w:sz w:val="24"/>
                <w:szCs w:val="24"/>
                <w:lang w:eastAsia="ru-RU"/>
              </w:rPr>
              <w:t>освітянських установ</w:t>
            </w:r>
            <w:r w:rsidRPr="00120BAA">
              <w:rPr>
                <w:rFonts w:ascii="Times New Roman" w:eastAsia="Times New Roman" w:hAnsi="Times New Roman" w:cs="Times New Roman"/>
                <w:color w:val="000000"/>
                <w:sz w:val="24"/>
                <w:szCs w:val="24"/>
                <w:lang w:eastAsia="ru-RU"/>
              </w:rPr>
              <w:t> передбачається 20361,9 тис.грн., що більше затверджених видатків на цю галузь минулого року на 2798,3 тис.грн., або 15,9 відсотка. Видатки на оплату праці по освіті порівняно з 2009 роком зросли на 16,2 відсотків, комунальні послуги - 26 відсотків. Видатки на харчування КЕКВ 1133 затверджено в сумі </w:t>
            </w:r>
            <w:r w:rsidRPr="00120BAA">
              <w:rPr>
                <w:rFonts w:ascii="Times New Roman" w:eastAsia="Times New Roman" w:hAnsi="Times New Roman" w:cs="Times New Roman"/>
                <w:b/>
                <w:bCs/>
                <w:color w:val="000000"/>
                <w:sz w:val="24"/>
                <w:szCs w:val="24"/>
                <w:lang w:eastAsia="ru-RU"/>
              </w:rPr>
              <w:t>1506,9</w:t>
            </w:r>
            <w:r w:rsidRPr="00120BAA">
              <w:rPr>
                <w:rFonts w:ascii="Times New Roman" w:eastAsia="Times New Roman" w:hAnsi="Times New Roman" w:cs="Times New Roman"/>
                <w:color w:val="000000"/>
                <w:sz w:val="24"/>
                <w:szCs w:val="24"/>
                <w:lang w:eastAsia="ru-RU"/>
              </w:rPr>
              <w:t> тис. грн. в т.ч.: по загальному фонду </w:t>
            </w:r>
            <w:r w:rsidRPr="00120BAA">
              <w:rPr>
                <w:rFonts w:ascii="Times New Roman" w:eastAsia="Times New Roman" w:hAnsi="Times New Roman" w:cs="Times New Roman"/>
                <w:b/>
                <w:bCs/>
                <w:color w:val="000000"/>
                <w:sz w:val="24"/>
                <w:szCs w:val="24"/>
                <w:lang w:eastAsia="ru-RU"/>
              </w:rPr>
              <w:t>1066,4</w:t>
            </w:r>
            <w:r w:rsidRPr="00120BAA">
              <w:rPr>
                <w:rFonts w:ascii="Times New Roman" w:eastAsia="Times New Roman" w:hAnsi="Times New Roman" w:cs="Times New Roman"/>
                <w:color w:val="000000"/>
                <w:sz w:val="24"/>
                <w:szCs w:val="24"/>
                <w:lang w:eastAsia="ru-RU"/>
              </w:rPr>
              <w:t> тис. грн., з них по дошкільних закладах – </w:t>
            </w:r>
            <w:r w:rsidRPr="00120BAA">
              <w:rPr>
                <w:rFonts w:ascii="Times New Roman" w:eastAsia="Times New Roman" w:hAnsi="Times New Roman" w:cs="Times New Roman"/>
                <w:b/>
                <w:bCs/>
                <w:color w:val="000000"/>
                <w:sz w:val="24"/>
                <w:szCs w:val="24"/>
                <w:lang w:eastAsia="ru-RU"/>
              </w:rPr>
              <w:t>547,1</w:t>
            </w:r>
            <w:r w:rsidRPr="00120BAA">
              <w:rPr>
                <w:rFonts w:ascii="Times New Roman" w:eastAsia="Times New Roman" w:hAnsi="Times New Roman" w:cs="Times New Roman"/>
                <w:color w:val="000000"/>
                <w:sz w:val="24"/>
                <w:szCs w:val="24"/>
                <w:lang w:eastAsia="ru-RU"/>
              </w:rPr>
              <w:t> тис. грн., по школах – </w:t>
            </w:r>
            <w:r w:rsidRPr="00120BAA">
              <w:rPr>
                <w:rFonts w:ascii="Times New Roman" w:eastAsia="Times New Roman" w:hAnsi="Times New Roman" w:cs="Times New Roman"/>
                <w:b/>
                <w:bCs/>
                <w:color w:val="000000"/>
                <w:sz w:val="24"/>
                <w:szCs w:val="24"/>
                <w:lang w:eastAsia="ru-RU"/>
              </w:rPr>
              <w:t>519,3</w:t>
            </w:r>
            <w:r w:rsidRPr="00120BAA">
              <w:rPr>
                <w:rFonts w:ascii="Times New Roman" w:eastAsia="Times New Roman" w:hAnsi="Times New Roman" w:cs="Times New Roman"/>
                <w:color w:val="000000"/>
                <w:sz w:val="24"/>
                <w:szCs w:val="24"/>
                <w:lang w:eastAsia="ru-RU"/>
              </w:rPr>
              <w:t> тис. грн., по спеціальному фонду дошкільних закладів </w:t>
            </w:r>
            <w:r w:rsidRPr="00120BAA">
              <w:rPr>
                <w:rFonts w:ascii="Times New Roman" w:eastAsia="Times New Roman" w:hAnsi="Times New Roman" w:cs="Times New Roman"/>
                <w:b/>
                <w:bCs/>
                <w:color w:val="000000"/>
                <w:sz w:val="24"/>
                <w:szCs w:val="24"/>
                <w:lang w:eastAsia="ru-RU"/>
              </w:rPr>
              <w:t>440,5</w:t>
            </w:r>
            <w:r w:rsidRPr="00120BAA">
              <w:rPr>
                <w:rFonts w:ascii="Times New Roman" w:eastAsia="Times New Roman" w:hAnsi="Times New Roman" w:cs="Times New Roman"/>
                <w:color w:val="000000"/>
                <w:sz w:val="24"/>
                <w:szCs w:val="24"/>
                <w:lang w:eastAsia="ru-RU"/>
              </w:rPr>
              <w:t> тис.грн.</w:t>
            </w:r>
          </w:p>
        </w:tc>
      </w:tr>
      <w:tr w:rsidR="00120BAA" w:rsidRPr="00120BAA" w:rsidTr="00120BAA">
        <w:trPr>
          <w:trHeight w:val="94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Для установ </w:t>
            </w:r>
            <w:r w:rsidRPr="00120BAA">
              <w:rPr>
                <w:rFonts w:ascii="Times New Roman" w:eastAsia="Times New Roman" w:hAnsi="Times New Roman" w:cs="Times New Roman"/>
                <w:b/>
                <w:bCs/>
                <w:color w:val="000000"/>
                <w:sz w:val="24"/>
                <w:szCs w:val="24"/>
                <w:lang w:eastAsia="ru-RU"/>
              </w:rPr>
              <w:t>охорони здоров’я</w:t>
            </w:r>
            <w:r w:rsidRPr="00120BAA">
              <w:rPr>
                <w:rFonts w:ascii="Times New Roman" w:eastAsia="Times New Roman" w:hAnsi="Times New Roman" w:cs="Times New Roman"/>
                <w:color w:val="000000"/>
                <w:sz w:val="24"/>
                <w:szCs w:val="24"/>
                <w:lang w:eastAsia="ru-RU"/>
              </w:rPr>
              <w:t> передбачено </w:t>
            </w:r>
            <w:r w:rsidRPr="00120BAA">
              <w:rPr>
                <w:rFonts w:ascii="Times New Roman" w:eastAsia="Times New Roman" w:hAnsi="Times New Roman" w:cs="Times New Roman"/>
                <w:b/>
                <w:bCs/>
                <w:color w:val="000000"/>
                <w:sz w:val="24"/>
                <w:szCs w:val="24"/>
                <w:lang w:eastAsia="ru-RU"/>
              </w:rPr>
              <w:t>1522,4</w:t>
            </w:r>
            <w:r w:rsidRPr="00120BAA">
              <w:rPr>
                <w:rFonts w:ascii="Times New Roman" w:eastAsia="Times New Roman" w:hAnsi="Times New Roman" w:cs="Times New Roman"/>
                <w:color w:val="000000"/>
                <w:sz w:val="24"/>
                <w:szCs w:val="24"/>
                <w:lang w:eastAsia="ru-RU"/>
              </w:rPr>
              <w:t> тис.грн., що більше затверджених бюджетних призначень 2009 року на </w:t>
            </w:r>
            <w:r w:rsidRPr="00120BAA">
              <w:rPr>
                <w:rFonts w:ascii="Times New Roman" w:eastAsia="Times New Roman" w:hAnsi="Times New Roman" w:cs="Times New Roman"/>
                <w:b/>
                <w:bCs/>
                <w:color w:val="000000"/>
                <w:sz w:val="24"/>
                <w:szCs w:val="24"/>
                <w:lang w:eastAsia="ru-RU"/>
              </w:rPr>
              <w:t>2759,1</w:t>
            </w:r>
            <w:r w:rsidRPr="00120BAA">
              <w:rPr>
                <w:rFonts w:ascii="Times New Roman" w:eastAsia="Times New Roman" w:hAnsi="Times New Roman" w:cs="Times New Roman"/>
                <w:color w:val="000000"/>
                <w:sz w:val="24"/>
                <w:szCs w:val="24"/>
                <w:lang w:eastAsia="ru-RU"/>
              </w:rPr>
              <w:t> тис.грн., або </w:t>
            </w:r>
            <w:r w:rsidRPr="00120BAA">
              <w:rPr>
                <w:rFonts w:ascii="Times New Roman" w:eastAsia="Times New Roman" w:hAnsi="Times New Roman" w:cs="Times New Roman"/>
                <w:b/>
                <w:bCs/>
                <w:color w:val="000000"/>
                <w:sz w:val="24"/>
                <w:szCs w:val="24"/>
                <w:lang w:eastAsia="ru-RU"/>
              </w:rPr>
              <w:t>22,1</w:t>
            </w:r>
            <w:r w:rsidRPr="00120BAA">
              <w:rPr>
                <w:rFonts w:ascii="Times New Roman" w:eastAsia="Times New Roman" w:hAnsi="Times New Roman" w:cs="Times New Roman"/>
                <w:color w:val="000000"/>
                <w:sz w:val="24"/>
                <w:szCs w:val="24"/>
                <w:lang w:eastAsia="ru-RU"/>
              </w:rPr>
              <w:t> відсотка. Видатки на оплату праці збільшено на </w:t>
            </w:r>
            <w:r w:rsidRPr="00120BAA">
              <w:rPr>
                <w:rFonts w:ascii="Times New Roman" w:eastAsia="Times New Roman" w:hAnsi="Times New Roman" w:cs="Times New Roman"/>
                <w:b/>
                <w:bCs/>
                <w:color w:val="000000"/>
                <w:sz w:val="24"/>
                <w:szCs w:val="24"/>
                <w:lang w:eastAsia="ru-RU"/>
              </w:rPr>
              <w:t>25,6 </w:t>
            </w:r>
            <w:r w:rsidRPr="00120BAA">
              <w:rPr>
                <w:rFonts w:ascii="Times New Roman" w:eastAsia="Times New Roman" w:hAnsi="Times New Roman" w:cs="Times New Roman"/>
                <w:color w:val="000000"/>
                <w:sz w:val="24"/>
                <w:szCs w:val="24"/>
                <w:lang w:eastAsia="ru-RU"/>
              </w:rPr>
              <w:t>відсотків, на комунальні послуги на </w:t>
            </w:r>
            <w:r w:rsidRPr="00120BAA">
              <w:rPr>
                <w:rFonts w:ascii="Times New Roman" w:eastAsia="Times New Roman" w:hAnsi="Times New Roman" w:cs="Times New Roman"/>
                <w:b/>
                <w:bCs/>
                <w:color w:val="000000"/>
                <w:sz w:val="24"/>
                <w:szCs w:val="24"/>
                <w:lang w:eastAsia="ru-RU"/>
              </w:rPr>
              <w:t>19,3</w:t>
            </w:r>
            <w:r w:rsidRPr="00120BAA">
              <w:rPr>
                <w:rFonts w:ascii="Times New Roman" w:eastAsia="Times New Roman" w:hAnsi="Times New Roman" w:cs="Times New Roman"/>
                <w:color w:val="000000"/>
                <w:sz w:val="24"/>
                <w:szCs w:val="24"/>
                <w:lang w:eastAsia="ru-RU"/>
              </w:rPr>
              <w:t> відсотка. </w:t>
            </w:r>
          </w:p>
        </w:tc>
      </w:tr>
      <w:tr w:rsidR="00120BAA" w:rsidRPr="00120BAA" w:rsidTr="00120BAA">
        <w:trPr>
          <w:trHeight w:val="94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На </w:t>
            </w:r>
            <w:r w:rsidRPr="00120BAA">
              <w:rPr>
                <w:rFonts w:ascii="Times New Roman" w:eastAsia="Times New Roman" w:hAnsi="Times New Roman" w:cs="Times New Roman"/>
                <w:b/>
                <w:bCs/>
                <w:color w:val="000000"/>
                <w:sz w:val="24"/>
                <w:szCs w:val="24"/>
                <w:lang w:eastAsia="ru-RU"/>
              </w:rPr>
              <w:t>культуру і мистецтво</w:t>
            </w:r>
            <w:r w:rsidRPr="00120BAA">
              <w:rPr>
                <w:rFonts w:ascii="Times New Roman" w:eastAsia="Times New Roman" w:hAnsi="Times New Roman" w:cs="Times New Roman"/>
                <w:color w:val="000000"/>
                <w:sz w:val="24"/>
                <w:szCs w:val="24"/>
                <w:lang w:eastAsia="ru-RU"/>
              </w:rPr>
              <w:t> у проекті передбачено </w:t>
            </w:r>
            <w:r w:rsidRPr="00120BAA">
              <w:rPr>
                <w:rFonts w:ascii="Times New Roman" w:eastAsia="Times New Roman" w:hAnsi="Times New Roman" w:cs="Times New Roman"/>
                <w:b/>
                <w:bCs/>
                <w:color w:val="000000"/>
                <w:sz w:val="24"/>
                <w:szCs w:val="24"/>
                <w:lang w:eastAsia="ru-RU"/>
              </w:rPr>
              <w:t>2555,2</w:t>
            </w:r>
            <w:r w:rsidRPr="00120BAA">
              <w:rPr>
                <w:rFonts w:ascii="Times New Roman" w:eastAsia="Times New Roman" w:hAnsi="Times New Roman" w:cs="Times New Roman"/>
                <w:color w:val="000000"/>
                <w:sz w:val="24"/>
                <w:szCs w:val="24"/>
                <w:lang w:eastAsia="ru-RU"/>
              </w:rPr>
              <w:t> тис.грн. в т.ч.: по загальному фонду 2303,4 тис.грн. Вони забезпечують у повному обсязі першочергові видатки, необхідні для функціонування установ культури, що утримуються на міському бюджеті.</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Зокрема на утримання бібліотек та розвиток бібліотечної справи передбачається по загальному фонду 538,6 тис.грн., що більше майже проти минулого року на </w:t>
            </w:r>
            <w:r w:rsidRPr="00120BAA">
              <w:rPr>
                <w:rFonts w:ascii="Times New Roman" w:eastAsia="Times New Roman" w:hAnsi="Times New Roman" w:cs="Times New Roman"/>
                <w:b/>
                <w:bCs/>
                <w:color w:val="000000"/>
                <w:sz w:val="24"/>
                <w:szCs w:val="24"/>
                <w:lang w:eastAsia="ru-RU"/>
              </w:rPr>
              <w:t>136,6</w:t>
            </w:r>
            <w:r w:rsidRPr="00120BAA">
              <w:rPr>
                <w:rFonts w:ascii="Times New Roman" w:eastAsia="Times New Roman" w:hAnsi="Times New Roman" w:cs="Times New Roman"/>
                <w:color w:val="000000"/>
                <w:sz w:val="24"/>
                <w:szCs w:val="24"/>
                <w:lang w:eastAsia="ru-RU"/>
              </w:rPr>
              <w:t> тис.грн.</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 Видатки на оплату праці по культурі зросли порівняно з 2009 роком на </w:t>
            </w:r>
            <w:r w:rsidRPr="00120BAA">
              <w:rPr>
                <w:rFonts w:ascii="Times New Roman" w:eastAsia="Times New Roman" w:hAnsi="Times New Roman" w:cs="Times New Roman"/>
                <w:b/>
                <w:bCs/>
                <w:color w:val="000000"/>
                <w:sz w:val="24"/>
                <w:szCs w:val="24"/>
                <w:lang w:eastAsia="ru-RU"/>
              </w:rPr>
              <w:t>33,9</w:t>
            </w:r>
            <w:r w:rsidRPr="00120BAA">
              <w:rPr>
                <w:rFonts w:ascii="Times New Roman" w:eastAsia="Times New Roman" w:hAnsi="Times New Roman" w:cs="Times New Roman"/>
                <w:color w:val="000000"/>
                <w:sz w:val="24"/>
                <w:szCs w:val="24"/>
                <w:lang w:eastAsia="ru-RU"/>
              </w:rPr>
              <w:t> відсотків.</w:t>
            </w:r>
          </w:p>
        </w:tc>
      </w:tr>
      <w:tr w:rsidR="00120BAA" w:rsidRPr="00120BAA" w:rsidTr="00120BAA">
        <w:trPr>
          <w:trHeight w:val="220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lastRenderedPageBreak/>
              <w:t>На </w:t>
            </w:r>
            <w:r w:rsidRPr="00120BAA">
              <w:rPr>
                <w:rFonts w:ascii="Times New Roman" w:eastAsia="Times New Roman" w:hAnsi="Times New Roman" w:cs="Times New Roman"/>
                <w:b/>
                <w:bCs/>
                <w:color w:val="000000"/>
                <w:sz w:val="24"/>
                <w:szCs w:val="24"/>
                <w:lang w:eastAsia="ru-RU"/>
              </w:rPr>
              <w:t>соціальний захист</w:t>
            </w:r>
            <w:r w:rsidRPr="00120BAA">
              <w:rPr>
                <w:rFonts w:ascii="Times New Roman" w:eastAsia="Times New Roman" w:hAnsi="Times New Roman" w:cs="Times New Roman"/>
                <w:color w:val="000000"/>
                <w:sz w:val="24"/>
                <w:szCs w:val="24"/>
                <w:lang w:eastAsia="ru-RU"/>
              </w:rPr>
              <w:t> та соціальне забезпечення на 2010 рік, без урахування субвенцій, виділених на цю мету з державного бюджету, спрямовується </w:t>
            </w:r>
            <w:r w:rsidRPr="00120BAA">
              <w:rPr>
                <w:rFonts w:ascii="Times New Roman" w:eastAsia="Times New Roman" w:hAnsi="Times New Roman" w:cs="Times New Roman"/>
                <w:b/>
                <w:bCs/>
                <w:color w:val="000000"/>
                <w:sz w:val="24"/>
                <w:szCs w:val="24"/>
                <w:lang w:eastAsia="ru-RU"/>
              </w:rPr>
              <w:t>574,4</w:t>
            </w:r>
            <w:r w:rsidRPr="00120BAA">
              <w:rPr>
                <w:rFonts w:ascii="Times New Roman" w:eastAsia="Times New Roman" w:hAnsi="Times New Roman" w:cs="Times New Roman"/>
                <w:color w:val="000000"/>
                <w:sz w:val="24"/>
                <w:szCs w:val="24"/>
                <w:lang w:eastAsia="ru-RU"/>
              </w:rPr>
              <w:t> тис.грн., що більше затверджених на 2009 рік на 155,4 тис.грн. або на 37,1  відсотків, в тому числі і пільги на житлово-комунальні послуги </w:t>
            </w:r>
            <w:r w:rsidRPr="00120BAA">
              <w:rPr>
                <w:rFonts w:ascii="Times New Roman" w:eastAsia="Times New Roman" w:hAnsi="Times New Roman" w:cs="Times New Roman"/>
                <w:b/>
                <w:bCs/>
                <w:color w:val="000000"/>
                <w:sz w:val="24"/>
                <w:szCs w:val="24"/>
                <w:lang w:eastAsia="ru-RU"/>
              </w:rPr>
              <w:t>34</w:t>
            </w:r>
            <w:r w:rsidRPr="00120BAA">
              <w:rPr>
                <w:rFonts w:ascii="Times New Roman" w:eastAsia="Times New Roman" w:hAnsi="Times New Roman" w:cs="Times New Roman"/>
                <w:color w:val="000000"/>
                <w:sz w:val="24"/>
                <w:szCs w:val="24"/>
                <w:lang w:eastAsia="ru-RU"/>
              </w:rPr>
              <w:t> тис.грн., оздоровлення дітей-сиріт і дітей з багатодітних сімей </w:t>
            </w:r>
            <w:r w:rsidRPr="00120BAA">
              <w:rPr>
                <w:rFonts w:ascii="Times New Roman" w:eastAsia="Times New Roman" w:hAnsi="Times New Roman" w:cs="Times New Roman"/>
                <w:b/>
                <w:bCs/>
                <w:color w:val="000000"/>
                <w:sz w:val="24"/>
                <w:szCs w:val="24"/>
                <w:lang w:eastAsia="ru-RU"/>
              </w:rPr>
              <w:t>26,0</w:t>
            </w:r>
            <w:r w:rsidRPr="00120BAA">
              <w:rPr>
                <w:rFonts w:ascii="Times New Roman" w:eastAsia="Times New Roman" w:hAnsi="Times New Roman" w:cs="Times New Roman"/>
                <w:color w:val="000000"/>
                <w:sz w:val="24"/>
                <w:szCs w:val="24"/>
                <w:lang w:eastAsia="ru-RU"/>
              </w:rPr>
              <w:t> тис.грн., утримання терцентру </w:t>
            </w:r>
            <w:r w:rsidRPr="00120BAA">
              <w:rPr>
                <w:rFonts w:ascii="Times New Roman" w:eastAsia="Times New Roman" w:hAnsi="Times New Roman" w:cs="Times New Roman"/>
                <w:b/>
                <w:bCs/>
                <w:color w:val="000000"/>
                <w:sz w:val="24"/>
                <w:szCs w:val="24"/>
                <w:lang w:eastAsia="ru-RU"/>
              </w:rPr>
              <w:t>427,4</w:t>
            </w:r>
            <w:r w:rsidRPr="00120BAA">
              <w:rPr>
                <w:rFonts w:ascii="Times New Roman" w:eastAsia="Times New Roman" w:hAnsi="Times New Roman" w:cs="Times New Roman"/>
                <w:color w:val="000000"/>
                <w:sz w:val="24"/>
                <w:szCs w:val="24"/>
                <w:lang w:eastAsia="ru-RU"/>
              </w:rPr>
              <w:t> тис.грн., заходи „Молодь Розділля” – 20 тис.грн., Видатки на заробітну плату по територіальному центрі зросли на 19 відсотка (введено в штат  штатну одиницю шофера). </w:t>
            </w:r>
          </w:p>
        </w:tc>
      </w:tr>
      <w:tr w:rsidR="00120BAA" w:rsidRPr="00120BAA" w:rsidTr="00120BAA">
        <w:trPr>
          <w:trHeight w:val="94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На </w:t>
            </w:r>
            <w:r w:rsidRPr="00120BAA">
              <w:rPr>
                <w:rFonts w:ascii="Times New Roman" w:eastAsia="Times New Roman" w:hAnsi="Times New Roman" w:cs="Times New Roman"/>
                <w:b/>
                <w:bCs/>
                <w:color w:val="000000"/>
                <w:sz w:val="24"/>
                <w:szCs w:val="24"/>
                <w:lang w:eastAsia="ru-RU"/>
              </w:rPr>
              <w:t>фізичну культуру</w:t>
            </w:r>
            <w:r w:rsidRPr="00120BAA">
              <w:rPr>
                <w:rFonts w:ascii="Times New Roman" w:eastAsia="Times New Roman" w:hAnsi="Times New Roman" w:cs="Times New Roman"/>
                <w:color w:val="000000"/>
                <w:sz w:val="24"/>
                <w:szCs w:val="24"/>
                <w:lang w:eastAsia="ru-RU"/>
              </w:rPr>
              <w:t> затверджено видатки на 2010 рік в сумі 765,6 тис.грн. що на 139,1 тис. більше 2009 року, і на 486,4</w:t>
            </w:r>
            <w:r w:rsidRPr="00120BAA">
              <w:rPr>
                <w:rFonts w:ascii="Times New Roman" w:eastAsia="Times New Roman" w:hAnsi="Times New Roman" w:cs="Times New Roman"/>
                <w:b/>
                <w:bCs/>
                <w:color w:val="000000"/>
                <w:sz w:val="24"/>
                <w:szCs w:val="24"/>
                <w:lang w:eastAsia="ru-RU"/>
              </w:rPr>
              <w:t> </w:t>
            </w:r>
            <w:r w:rsidRPr="00120BAA">
              <w:rPr>
                <w:rFonts w:ascii="Times New Roman" w:eastAsia="Times New Roman" w:hAnsi="Times New Roman" w:cs="Times New Roman"/>
                <w:color w:val="000000"/>
                <w:sz w:val="24"/>
                <w:szCs w:val="24"/>
                <w:lang w:eastAsia="ru-RU"/>
              </w:rPr>
              <w:t>тис. гривень більше розрахункових показників Міністерства фінансів. </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Видатки на оплату праці збільшено порівняно з 2009 роком на </w:t>
            </w:r>
            <w:r w:rsidRPr="00120BAA">
              <w:rPr>
                <w:rFonts w:ascii="Times New Roman" w:eastAsia="Times New Roman" w:hAnsi="Times New Roman" w:cs="Times New Roman"/>
                <w:b/>
                <w:bCs/>
                <w:color w:val="000000"/>
                <w:sz w:val="24"/>
                <w:szCs w:val="24"/>
                <w:lang w:eastAsia="ru-RU"/>
              </w:rPr>
              <w:t>19,6</w:t>
            </w:r>
            <w:r w:rsidRPr="00120BAA">
              <w:rPr>
                <w:rFonts w:ascii="Times New Roman" w:eastAsia="Times New Roman" w:hAnsi="Times New Roman" w:cs="Times New Roman"/>
                <w:color w:val="000000"/>
                <w:sz w:val="24"/>
                <w:szCs w:val="24"/>
                <w:lang w:eastAsia="ru-RU"/>
              </w:rPr>
              <w:t> відсотка. Видатки на комунальні послуги збільшено на 21,3 відсотка. </w:t>
            </w:r>
          </w:p>
        </w:tc>
      </w:tr>
      <w:tr w:rsidR="00120BAA" w:rsidRPr="00120BAA" w:rsidTr="00120BAA">
        <w:trPr>
          <w:trHeight w:val="63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На фінансування інших заходів, пов’язаних з економічною діяльністю спрямовується  10</w:t>
            </w:r>
            <w:r w:rsidRPr="00120BAA">
              <w:rPr>
                <w:rFonts w:ascii="Times New Roman" w:eastAsia="Times New Roman" w:hAnsi="Times New Roman" w:cs="Times New Roman"/>
                <w:b/>
                <w:bCs/>
                <w:color w:val="000000"/>
                <w:sz w:val="24"/>
                <w:szCs w:val="24"/>
                <w:lang w:eastAsia="ru-RU"/>
              </w:rPr>
              <w:t> </w:t>
            </w:r>
            <w:r w:rsidRPr="00120BAA">
              <w:rPr>
                <w:rFonts w:ascii="Times New Roman" w:eastAsia="Times New Roman" w:hAnsi="Times New Roman" w:cs="Times New Roman"/>
                <w:color w:val="000000"/>
                <w:sz w:val="24"/>
                <w:szCs w:val="24"/>
                <w:lang w:eastAsia="ru-RU"/>
              </w:rPr>
              <w:t>тис.грн..</w:t>
            </w:r>
          </w:p>
        </w:tc>
      </w:tr>
      <w:tr w:rsidR="00120BAA" w:rsidRPr="00120BAA" w:rsidTr="00120BAA">
        <w:trPr>
          <w:trHeight w:val="189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Взято до уваги очікуване збільшення надходження плати за землю у зв’язку із підвищенням ставок земельного податку та орендної плати за землю. А при прогнозуванні плати за оренду комунального майна враховано, що органи місцевого самоврядування забезпечать на місцях безумовне виконання вимог ст.73 Закону про держбюджет на 2010 рік щодо передачі в оренду комунального майна виключно на конкурсних засадах.</w:t>
            </w:r>
          </w:p>
        </w:tc>
      </w:tr>
      <w:tr w:rsidR="00120BAA" w:rsidRPr="00120BAA" w:rsidTr="00120BAA">
        <w:trPr>
          <w:trHeight w:val="126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Зростають доходи спеціального фонду міського бюджету. Одним із основних джерел його наповнення є надходження від відчуження майна комунальної власності, реальність прогнозування яких значною мірою залежить від органів, причетних до процесу відчуження, від його прозорості.</w:t>
            </w:r>
          </w:p>
        </w:tc>
      </w:tr>
      <w:tr w:rsidR="00120BAA" w:rsidRPr="00120BAA" w:rsidTr="00120BAA">
        <w:trPr>
          <w:trHeight w:val="157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Значні фінансові ресурси надходять на рахунки соціально-культурних установ як власні доходи. Розмір таких доходів залежить від рівня організації надання населенню платних послуг, передбачених чинним законодавством, а також від стану обліку надходжень, тобто значною мірою від керівників бюджетних установ. Керівникам слід пам’ятати, що вони спрямовуються на покращення роботи установ, як вагомий додатковий ресурс.</w:t>
            </w:r>
          </w:p>
        </w:tc>
      </w:tr>
      <w:tr w:rsidR="00120BAA" w:rsidRPr="00120BAA" w:rsidTr="00120BAA">
        <w:trPr>
          <w:trHeight w:val="1260"/>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lastRenderedPageBreak/>
              <w:t>Таким чином у процесі формування міського бюджету на 2010 рік враховано усі можливості визначення оптимального обсягу дохідної частини, забезпечено його збалансованість і створено умови для прискореного запровадження пріоритетів нового бюджетного року в місті.</w:t>
            </w:r>
          </w:p>
        </w:tc>
      </w:tr>
      <w:tr w:rsidR="00120BAA" w:rsidRPr="00120BAA" w:rsidTr="00120BAA">
        <w:trPr>
          <w:trHeight w:val="94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color w:val="000000"/>
                <w:sz w:val="24"/>
                <w:szCs w:val="24"/>
                <w:lang w:eastAsia="ru-RU"/>
              </w:rPr>
              <w:t>В розрахункових показниках Міністерства фінансів України на 2010 рік враховано видатки на виконання повноважень між місцевими бюджетами на лікування хворих Миколаївського району, Жидачівського району, м. Львова.</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before="100" w:beforeAutospacing="1" w:after="100" w:afterAutospacing="1" w:line="240" w:lineRule="auto"/>
              <w:rPr>
                <w:rFonts w:ascii="Arial" w:eastAsia="Times New Roman" w:hAnsi="Arial" w:cs="Arial"/>
                <w:color w:val="333333"/>
                <w:sz w:val="10"/>
                <w:szCs w:val="10"/>
                <w:lang w:eastAsia="ru-RU"/>
              </w:rPr>
            </w:pPr>
            <w:r w:rsidRPr="00120BAA">
              <w:rPr>
                <w:rFonts w:ascii="Arial" w:eastAsia="Times New Roman" w:hAnsi="Arial" w:cs="Arial"/>
                <w:color w:val="333333"/>
                <w:sz w:val="10"/>
                <w:szCs w:val="10"/>
                <w:lang w:eastAsia="ru-RU"/>
              </w:rPr>
              <w:t> </w:t>
            </w:r>
          </w:p>
        </w:tc>
      </w:tr>
      <w:tr w:rsidR="00120BAA" w:rsidRPr="00120BAA" w:rsidTr="00120BAA">
        <w:trPr>
          <w:trHeight w:val="315"/>
        </w:trPr>
        <w:tc>
          <w:tcPr>
            <w:tcW w:w="0" w:type="auto"/>
            <w:tcBorders>
              <w:top w:val="nil"/>
              <w:left w:val="nil"/>
              <w:bottom w:val="nil"/>
              <w:right w:val="nil"/>
            </w:tcBorders>
            <w:shd w:val="clear" w:color="auto" w:fill="auto"/>
            <w:vAlign w:val="center"/>
            <w:hideMark/>
          </w:tcPr>
          <w:p w:rsidR="00120BAA" w:rsidRPr="00120BAA" w:rsidRDefault="00120BAA" w:rsidP="00120BAA">
            <w:pPr>
              <w:spacing w:after="0" w:line="240" w:lineRule="auto"/>
              <w:rPr>
                <w:rFonts w:ascii="Arial" w:eastAsia="Times New Roman" w:hAnsi="Arial" w:cs="Arial"/>
                <w:color w:val="333333"/>
                <w:sz w:val="10"/>
                <w:szCs w:val="10"/>
                <w:lang w:eastAsia="ru-RU"/>
              </w:rPr>
            </w:pPr>
            <w:r w:rsidRPr="00120BAA">
              <w:rPr>
                <w:rFonts w:ascii="Times New Roman" w:eastAsia="Times New Roman" w:hAnsi="Times New Roman" w:cs="Times New Roman"/>
                <w:b/>
                <w:bCs/>
                <w:color w:val="000000"/>
                <w:sz w:val="24"/>
                <w:szCs w:val="24"/>
                <w:lang w:eastAsia="ru-RU"/>
              </w:rPr>
              <w:t>     Начальник фінансового управління                                Ричагівський І.І.</w:t>
            </w:r>
            <w:r w:rsidRPr="00120BAA">
              <w:rPr>
                <w:rFonts w:ascii="Times New Roman" w:eastAsia="Times New Roman" w:hAnsi="Times New Roman" w:cs="Times New Roman"/>
                <w:b/>
                <w:bCs/>
                <w:color w:val="FF0000"/>
                <w:sz w:val="20"/>
                <w:lang w:eastAsia="ru-RU"/>
              </w:rPr>
              <w:t> </w:t>
            </w:r>
          </w:p>
        </w:tc>
      </w:tr>
    </w:tbl>
    <w:p w:rsidR="00395D23" w:rsidRPr="00120BAA" w:rsidRDefault="00395D23" w:rsidP="00120BAA"/>
    <w:sectPr w:rsidR="00395D23" w:rsidRPr="00120BAA"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compat/>
  <w:rsids>
    <w:rsidRoot w:val="00506A51"/>
    <w:rsid w:val="00026197"/>
    <w:rsid w:val="00073E1C"/>
    <w:rsid w:val="00082608"/>
    <w:rsid w:val="000A0BEF"/>
    <w:rsid w:val="00120BAA"/>
    <w:rsid w:val="00124F4E"/>
    <w:rsid w:val="00141074"/>
    <w:rsid w:val="00153D92"/>
    <w:rsid w:val="00161D1C"/>
    <w:rsid w:val="00270C44"/>
    <w:rsid w:val="002B5C36"/>
    <w:rsid w:val="002E3BDF"/>
    <w:rsid w:val="00330FA0"/>
    <w:rsid w:val="00345A9C"/>
    <w:rsid w:val="00395D23"/>
    <w:rsid w:val="003A39DC"/>
    <w:rsid w:val="003B7ED8"/>
    <w:rsid w:val="003C72B2"/>
    <w:rsid w:val="00431C38"/>
    <w:rsid w:val="004444BB"/>
    <w:rsid w:val="00483336"/>
    <w:rsid w:val="00504E05"/>
    <w:rsid w:val="00506A51"/>
    <w:rsid w:val="00533A78"/>
    <w:rsid w:val="005611EE"/>
    <w:rsid w:val="00566E78"/>
    <w:rsid w:val="005834FB"/>
    <w:rsid w:val="005C3FF5"/>
    <w:rsid w:val="005D25FE"/>
    <w:rsid w:val="005F53AF"/>
    <w:rsid w:val="006135FE"/>
    <w:rsid w:val="0066165E"/>
    <w:rsid w:val="006721E1"/>
    <w:rsid w:val="0073666E"/>
    <w:rsid w:val="00750C5C"/>
    <w:rsid w:val="0078518E"/>
    <w:rsid w:val="007C73C2"/>
    <w:rsid w:val="007D7CCA"/>
    <w:rsid w:val="00820F8E"/>
    <w:rsid w:val="0082146B"/>
    <w:rsid w:val="00852103"/>
    <w:rsid w:val="008D1531"/>
    <w:rsid w:val="008D601B"/>
    <w:rsid w:val="0090285A"/>
    <w:rsid w:val="00935D13"/>
    <w:rsid w:val="009618C7"/>
    <w:rsid w:val="00962CE4"/>
    <w:rsid w:val="00A310FC"/>
    <w:rsid w:val="00A42488"/>
    <w:rsid w:val="00A97F45"/>
    <w:rsid w:val="00B04878"/>
    <w:rsid w:val="00C00323"/>
    <w:rsid w:val="00CD23B0"/>
    <w:rsid w:val="00CD6453"/>
    <w:rsid w:val="00D50326"/>
    <w:rsid w:val="00D748AA"/>
    <w:rsid w:val="00DA655D"/>
    <w:rsid w:val="00E0644A"/>
    <w:rsid w:val="00E13B56"/>
    <w:rsid w:val="00ED5F3D"/>
    <w:rsid w:val="00EF7800"/>
    <w:rsid w:val="00F04A67"/>
    <w:rsid w:val="00F055BA"/>
    <w:rsid w:val="00F944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1115</Words>
  <Characters>6356</Characters>
  <Application>Microsoft Office Word</Application>
  <DocSecurity>0</DocSecurity>
  <Lines>52</Lines>
  <Paragraphs>14</Paragraphs>
  <ScaleCrop>false</ScaleCrop>
  <Company/>
  <LinksUpToDate>false</LinksUpToDate>
  <CharactersWithSpaces>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2021-12-21T07:32:00Z</dcterms:created>
  <dcterms:modified xsi:type="dcterms:W3CDTF">2021-12-21T07:32:00Z</dcterms:modified>
</cp:coreProperties>
</file>