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90F" w:rsidRPr="00A6590F" w:rsidRDefault="00A6590F" w:rsidP="00A6590F">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99" name="Рисунок 19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A6590F" w:rsidRPr="00A6590F" w:rsidRDefault="00A6590F" w:rsidP="00A6590F">
      <w:pPr>
        <w:spacing w:after="0" w:line="240" w:lineRule="auto"/>
        <w:rPr>
          <w:rFonts w:ascii="Times New Roman" w:eastAsia="Times New Roman" w:hAnsi="Times New Roman" w:cs="Times New Roman"/>
          <w:sz w:val="24"/>
          <w:szCs w:val="24"/>
          <w:lang w:eastAsia="ru-RU"/>
        </w:rPr>
      </w:pPr>
      <w:r w:rsidRPr="00A6590F">
        <w:rPr>
          <w:rFonts w:ascii="Arial" w:eastAsia="Times New Roman" w:hAnsi="Arial" w:cs="Arial"/>
          <w:color w:val="333333"/>
          <w:sz w:val="10"/>
          <w:szCs w:val="10"/>
          <w:lang w:eastAsia="ru-RU"/>
        </w:rPr>
        <w:br/>
      </w:r>
    </w:p>
    <w:p w:rsidR="00A6590F" w:rsidRPr="00A6590F" w:rsidRDefault="00A6590F" w:rsidP="00A6590F">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w:eastAsia="Times New Roman" w:hAnsi="Arial" w:cs="Arial"/>
          <w:color w:val="333333"/>
          <w:sz w:val="10"/>
          <w:szCs w:val="10"/>
          <w:lang w:eastAsia="ru-RU"/>
        </w:rPr>
        <w:t>НОВОРОЗДІЛЬСЬКА МІСЬКА РАДА</w:t>
      </w:r>
      <w:r w:rsidRPr="00A6590F">
        <w:rPr>
          <w:rFonts w:ascii="Arial" w:eastAsia="Times New Roman" w:hAnsi="Arial" w:cs="Arial"/>
          <w:color w:val="333333"/>
          <w:sz w:val="10"/>
          <w:szCs w:val="10"/>
          <w:lang w:eastAsia="ru-RU"/>
        </w:rPr>
        <w:br/>
        <w:t>ЛЬВІВСЬКОЇ ОБЛАСТІ</w:t>
      </w:r>
      <w:r w:rsidRPr="00A6590F">
        <w:rPr>
          <w:rFonts w:ascii="Arial" w:eastAsia="Times New Roman" w:hAnsi="Arial" w:cs="Arial"/>
          <w:color w:val="333333"/>
          <w:sz w:val="10"/>
          <w:szCs w:val="10"/>
          <w:lang w:eastAsia="ru-RU"/>
        </w:rPr>
        <w:br/>
        <w:t>ВИКОНАВЧИЙ КОМІТЕТ</w:t>
      </w:r>
      <w:r w:rsidRPr="00A6590F">
        <w:rPr>
          <w:rFonts w:ascii="Arial" w:eastAsia="Times New Roman" w:hAnsi="Arial" w:cs="Arial"/>
          <w:color w:val="333333"/>
          <w:sz w:val="10"/>
          <w:szCs w:val="10"/>
          <w:lang w:eastAsia="ru-RU"/>
        </w:rPr>
        <w:br/>
        <w:t>РІШЕННЯ № </w:t>
      </w:r>
      <w:r w:rsidRPr="00A6590F">
        <w:rPr>
          <w:rFonts w:ascii="Arial" w:eastAsia="Times New Roman" w:hAnsi="Arial" w:cs="Arial"/>
          <w:b/>
          <w:bCs/>
          <w:color w:val="333333"/>
          <w:sz w:val="10"/>
          <w:lang w:eastAsia="ru-RU"/>
        </w:rPr>
        <w:t>406</w:t>
      </w:r>
    </w:p>
    <w:tbl>
      <w:tblPr>
        <w:tblW w:w="13460" w:type="dxa"/>
        <w:shd w:val="clear" w:color="auto" w:fill="FAFAFA"/>
        <w:tblCellMar>
          <w:left w:w="0" w:type="dxa"/>
          <w:right w:w="0" w:type="dxa"/>
        </w:tblCellMar>
        <w:tblLook w:val="04A0"/>
      </w:tblPr>
      <w:tblGrid>
        <w:gridCol w:w="13460"/>
      </w:tblGrid>
      <w:tr w:rsidR="00A6590F" w:rsidRPr="00A6590F" w:rsidTr="00A6590F">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bl>
    <w:p w:rsidR="00A6590F" w:rsidRPr="00A6590F" w:rsidRDefault="00A6590F" w:rsidP="00A6590F">
      <w:pPr>
        <w:spacing w:after="0" w:line="240" w:lineRule="auto"/>
        <w:rPr>
          <w:rFonts w:ascii="Times New Roman" w:eastAsia="Times New Roman" w:hAnsi="Times New Roman" w:cs="Times New Roman"/>
          <w:vanish/>
          <w:sz w:val="24"/>
          <w:szCs w:val="24"/>
          <w:lang w:eastAsia="ru-RU"/>
        </w:rPr>
      </w:pPr>
    </w:p>
    <w:tbl>
      <w:tblPr>
        <w:tblW w:w="6720" w:type="dxa"/>
        <w:shd w:val="clear" w:color="auto" w:fill="FAFAFA"/>
        <w:tblCellMar>
          <w:left w:w="0" w:type="dxa"/>
          <w:right w:w="0" w:type="dxa"/>
        </w:tblCellMar>
        <w:tblLook w:val="04A0"/>
      </w:tblPr>
      <w:tblGrid>
        <w:gridCol w:w="6720"/>
      </w:tblGrid>
      <w:tr w:rsidR="00A6590F" w:rsidRPr="00A6590F" w:rsidTr="00A6590F">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bl>
    <w:p w:rsidR="00A6590F" w:rsidRPr="00A6590F" w:rsidRDefault="00A6590F" w:rsidP="00A6590F">
      <w:pPr>
        <w:spacing w:after="0" w:line="240" w:lineRule="auto"/>
        <w:rPr>
          <w:rFonts w:ascii="Times New Roman" w:eastAsia="Times New Roman" w:hAnsi="Times New Roman" w:cs="Times New Roman"/>
          <w:vanish/>
          <w:sz w:val="24"/>
          <w:szCs w:val="24"/>
          <w:lang w:eastAsia="ru-RU"/>
        </w:rPr>
      </w:pPr>
    </w:p>
    <w:tbl>
      <w:tblPr>
        <w:tblW w:w="13460" w:type="dxa"/>
        <w:shd w:val="clear" w:color="auto" w:fill="FAFAFA"/>
        <w:tblCellMar>
          <w:left w:w="0" w:type="dxa"/>
          <w:right w:w="0" w:type="dxa"/>
        </w:tblCellMar>
        <w:tblLook w:val="04A0"/>
      </w:tblPr>
      <w:tblGrid>
        <w:gridCol w:w="13460"/>
      </w:tblGrid>
      <w:tr w:rsidR="00A6590F" w:rsidRPr="00A6590F" w:rsidTr="00A6590F">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bl>
    <w:p w:rsidR="00A6590F" w:rsidRPr="00A6590F" w:rsidRDefault="00A6590F" w:rsidP="00A6590F">
      <w:pPr>
        <w:spacing w:after="0" w:line="240" w:lineRule="auto"/>
        <w:rPr>
          <w:rFonts w:ascii="Times New Roman" w:eastAsia="Times New Roman" w:hAnsi="Times New Roman" w:cs="Times New Roman"/>
          <w:vanish/>
          <w:sz w:val="24"/>
          <w:szCs w:val="24"/>
          <w:lang w:eastAsia="ru-RU"/>
        </w:rPr>
      </w:pPr>
    </w:p>
    <w:tbl>
      <w:tblPr>
        <w:tblW w:w="13380" w:type="dxa"/>
        <w:shd w:val="clear" w:color="auto" w:fill="FAFAFA"/>
        <w:tblCellMar>
          <w:left w:w="0" w:type="dxa"/>
          <w:right w:w="0" w:type="dxa"/>
        </w:tblCellMar>
        <w:tblLook w:val="04A0"/>
      </w:tblPr>
      <w:tblGrid>
        <w:gridCol w:w="13380"/>
      </w:tblGrid>
      <w:tr w:rsidR="00A6590F" w:rsidRPr="00A6590F" w:rsidTr="00A6590F">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bl>
    <w:p w:rsidR="00A6590F" w:rsidRPr="00A6590F" w:rsidRDefault="00A6590F" w:rsidP="00A6590F">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Times New Roman" w:eastAsia="Times New Roman" w:hAnsi="Times New Roman" w:cs="Times New Roman"/>
                <w:color w:val="000000"/>
                <w:sz w:val="24"/>
                <w:szCs w:val="24"/>
                <w:lang w:eastAsia="ru-RU"/>
              </w:rPr>
              <w:t>10 грудня 2010 року</w:t>
            </w:r>
          </w:p>
        </w:tc>
      </w:tr>
      <w:tr w:rsidR="00A6590F" w:rsidRPr="00A6590F" w:rsidTr="00A6590F">
        <w:trPr>
          <w:trHeight w:val="315"/>
        </w:trPr>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Times New Roman" w:eastAsia="Times New Roman" w:hAnsi="Times New Roman" w:cs="Times New Roman"/>
                <w:b/>
                <w:bCs/>
                <w:i/>
                <w:iCs/>
                <w:color w:val="000000"/>
                <w:sz w:val="24"/>
                <w:szCs w:val="24"/>
                <w:lang w:eastAsia="ru-RU"/>
              </w:rPr>
              <w:t>Про погодження Програми приватизації</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Times New Roman" w:eastAsia="Times New Roman" w:hAnsi="Times New Roman" w:cs="Times New Roman"/>
                <w:b/>
                <w:bCs/>
                <w:i/>
                <w:iCs/>
                <w:color w:val="000000"/>
                <w:sz w:val="24"/>
                <w:szCs w:val="24"/>
                <w:lang w:eastAsia="ru-RU"/>
              </w:rPr>
              <w:t>майна комунальної власності </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Times New Roman" w:eastAsia="Times New Roman" w:hAnsi="Times New Roman" w:cs="Times New Roman"/>
                <w:b/>
                <w:bCs/>
                <w:i/>
                <w:iCs/>
                <w:color w:val="000000"/>
                <w:sz w:val="24"/>
                <w:szCs w:val="24"/>
                <w:lang w:eastAsia="ru-RU"/>
              </w:rPr>
              <w:t>Новороздільської міської ради на 2011р. </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126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Times New Roman" w:eastAsia="Times New Roman" w:hAnsi="Times New Roman" w:cs="Times New Roman"/>
                <w:color w:val="000000"/>
                <w:sz w:val="24"/>
                <w:szCs w:val="24"/>
                <w:lang w:eastAsia="ru-RU"/>
              </w:rPr>
              <w:t>Заслухавши інформацію головного спеціаліста відділу комунального майна та приватизації Романів С.Я., відповідно до Закону України» Про приватизацію невеликих державних підприємств (малу приватизацію)», пп. «а» ч 4 ст.29 Закону України „Про місцеве самоврядування в Україні”, виконавчий комітет  Новороздільської міської ради </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w:eastAsia="Times New Roman" w:hAnsi="Arial" w:cs="Arial"/>
                <w:color w:val="333333"/>
                <w:sz w:val="10"/>
                <w:szCs w:val="10"/>
                <w:lang w:eastAsia="ru-RU"/>
              </w:rPr>
              <w:t> </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Times New Roman" w:eastAsia="Times New Roman" w:hAnsi="Times New Roman" w:cs="Times New Roman"/>
                <w:b/>
                <w:bCs/>
                <w:color w:val="000000"/>
                <w:sz w:val="24"/>
                <w:szCs w:val="24"/>
                <w:lang w:eastAsia="ru-RU"/>
              </w:rPr>
              <w:t>В И Р І Ш И В:</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w:eastAsia="Times New Roman" w:hAnsi="Arial" w:cs="Arial"/>
                <w:color w:val="333333"/>
                <w:sz w:val="10"/>
                <w:szCs w:val="10"/>
                <w:lang w:eastAsia="ru-RU"/>
              </w:rPr>
              <w:t> </w:t>
            </w:r>
          </w:p>
        </w:tc>
      </w:tr>
      <w:tr w:rsidR="00A6590F" w:rsidRPr="00A6590F" w:rsidTr="00A6590F">
        <w:trPr>
          <w:trHeight w:val="63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Times New Roman" w:eastAsia="Times New Roman" w:hAnsi="Times New Roman" w:cs="Times New Roman"/>
                <w:color w:val="000000"/>
                <w:sz w:val="24"/>
                <w:szCs w:val="24"/>
                <w:lang w:eastAsia="ru-RU"/>
              </w:rPr>
              <w:t>1. Погодити Програму приватизації майна комунальної власності Новороздільської міської ради на 2011р. та перелік об’єктів, які підлягають відчуженню у 2011 році.</w:t>
            </w:r>
          </w:p>
        </w:tc>
      </w:tr>
      <w:tr w:rsidR="00A6590F" w:rsidRPr="00A6590F" w:rsidTr="00A6590F">
        <w:trPr>
          <w:trHeight w:val="63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Times New Roman" w:eastAsia="Times New Roman" w:hAnsi="Times New Roman" w:cs="Times New Roman"/>
                <w:color w:val="000000"/>
                <w:sz w:val="24"/>
                <w:szCs w:val="24"/>
                <w:lang w:eastAsia="ru-RU"/>
              </w:rPr>
              <w:t>2. Відділу комунального майна та приватизації (начальник Гупало В. Т.) подати програму на затвердження сесії міської ради.</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Times New Roman" w:eastAsia="Times New Roman" w:hAnsi="Times New Roman" w:cs="Times New Roman"/>
                <w:color w:val="000000"/>
                <w:sz w:val="24"/>
                <w:szCs w:val="24"/>
                <w:lang w:eastAsia="ru-RU"/>
              </w:rPr>
              <w:t>3.Контроль за виконанням даного рішення покласти на заступника міського голови Шайногу О. І. </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w:eastAsia="Times New Roman" w:hAnsi="Arial" w:cs="Arial"/>
                <w:color w:val="333333"/>
                <w:sz w:val="10"/>
                <w:szCs w:val="10"/>
                <w:lang w:eastAsia="ru-RU"/>
              </w:rPr>
              <w:t> </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Times New Roman" w:eastAsia="Times New Roman" w:hAnsi="Times New Roman" w:cs="Times New Roman"/>
                <w:b/>
                <w:bCs/>
                <w:color w:val="000000"/>
                <w:sz w:val="24"/>
                <w:szCs w:val="24"/>
                <w:lang w:eastAsia="ru-RU"/>
              </w:rPr>
              <w:t>МІСЬКИЙ ГОЛОВА          (підпис)             Володимир ТУЗ</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right"/>
              <w:rPr>
                <w:rFonts w:ascii="Arial" w:eastAsia="Times New Roman" w:hAnsi="Arial" w:cs="Arial"/>
                <w:color w:val="333333"/>
                <w:sz w:val="10"/>
                <w:szCs w:val="10"/>
                <w:lang w:eastAsia="ru-RU"/>
              </w:rPr>
            </w:pPr>
            <w:r w:rsidRPr="00A6590F">
              <w:rPr>
                <w:rFonts w:ascii="Times New Roman" w:eastAsia="Times New Roman" w:hAnsi="Times New Roman" w:cs="Times New Roman"/>
                <w:color w:val="000000"/>
                <w:sz w:val="24"/>
                <w:szCs w:val="24"/>
                <w:lang w:eastAsia="ru-RU"/>
              </w:rPr>
              <w:t>   Додаток до рішення  </w:t>
            </w:r>
          </w:p>
        </w:tc>
      </w:tr>
      <w:tr w:rsidR="00A6590F" w:rsidRPr="00A6590F" w:rsidTr="00A6590F">
        <w:trPr>
          <w:trHeight w:val="315"/>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right"/>
              <w:rPr>
                <w:rFonts w:ascii="Arial" w:eastAsia="Times New Roman" w:hAnsi="Arial" w:cs="Arial"/>
                <w:color w:val="333333"/>
                <w:sz w:val="10"/>
                <w:szCs w:val="10"/>
                <w:lang w:eastAsia="ru-RU"/>
              </w:rPr>
            </w:pPr>
            <w:r w:rsidRPr="00A6590F">
              <w:rPr>
                <w:rFonts w:ascii="Times New Roman" w:eastAsia="Times New Roman" w:hAnsi="Times New Roman" w:cs="Times New Roman"/>
                <w:color w:val="000000"/>
                <w:sz w:val="24"/>
                <w:szCs w:val="24"/>
                <w:lang w:eastAsia="ru-RU"/>
              </w:rPr>
              <w:t>                                                            Виконкому № 406 від 10.12.10р.</w:t>
            </w:r>
          </w:p>
        </w:tc>
      </w:tr>
      <w:tr w:rsidR="00A6590F" w:rsidRPr="00A6590F" w:rsidTr="00A6590F">
        <w:trPr>
          <w:trHeight w:val="315"/>
        </w:trPr>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255"/>
        </w:trPr>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ПОГОДЖЕНО</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виконавчим комітентом </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Новороздільської міської ради</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від  10.12.10 р. № 406</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Міський голова</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_________________В. М. ТУЗ</w:t>
            </w:r>
          </w:p>
        </w:tc>
      </w:tr>
      <w:tr w:rsidR="00A6590F" w:rsidRPr="00A6590F" w:rsidTr="00A6590F">
        <w:trPr>
          <w:trHeight w:val="255"/>
        </w:trPr>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255"/>
        </w:trPr>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w:eastAsia="Times New Roman" w:hAnsi="Arial" w:cs="Arial"/>
                <w:color w:val="333333"/>
                <w:sz w:val="10"/>
                <w:szCs w:val="10"/>
                <w:lang w:eastAsia="ru-RU"/>
              </w:rPr>
              <w:t>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П Р О Г Р А М А</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w:eastAsia="Times New Roman" w:hAnsi="Arial" w:cs="Arial"/>
                <w:color w:val="333333"/>
                <w:sz w:val="10"/>
                <w:szCs w:val="10"/>
                <w:lang w:eastAsia="ru-RU"/>
              </w:rPr>
              <w:t>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приватизації майна комунальної власності</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Новороздільської міської ради на 2011рік</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 Загальна частина </w:t>
            </w:r>
          </w:p>
        </w:tc>
      </w:tr>
      <w:tr w:rsidR="00A6590F" w:rsidRPr="00A6590F" w:rsidTr="00A6590F">
        <w:trPr>
          <w:trHeight w:val="12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1.1. У Програмі приватизації майна комунальної власності м. Новий Розділ на 2011 рік (надалі – Програма) визначено основну мету, пріоритети та умови приватизації комунального майна м. Новий Розділ. Програма діє до затвердження чергової програми приватизації майна комунальної власності м. Новий Розділ</w:t>
            </w:r>
          </w:p>
        </w:tc>
      </w:tr>
      <w:tr w:rsidR="00A6590F" w:rsidRPr="00A6590F" w:rsidTr="00A6590F">
        <w:trPr>
          <w:trHeight w:val="9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1.2. Основною метою приватизації у 2011 році є підвищення ефективності використання комунального майна, створення конкурентного середовища та забезпечення надходження коштів від приватизації до бюджету розвитку міського бюджету м. Новий Розділ.</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1.3. До пріоритетів проведення приватизації у 2011 році належать:</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1.3.1. Першочерговий продаж дрібних і малоліквідних об'єктів нерухомого майна площею до 200 кв. м (підвали, напівпідвали, цоколі,),</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1.3.2. Досягнення максимальної ефективності продажу об'єктів приватизації.</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lastRenderedPageBreak/>
              <w:t>1.3.5. Забезпечення збільшення надходження до міського бюджету м. Новий Розділ коштів від приватизації через підвищення конкурентності та прозорості продажів.</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1.3.6. Врахування індивідуальних особливостей об'єктів приватизації.</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1.4. Виходячи з мети та пріоритетів приватизації, визначених цією Програмою, встановлюються завдання щодо:</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1.4.1. Приватизації об'єктів, подальше перебування у комунальній власності яких є економічно недоцільним.</w:t>
            </w:r>
          </w:p>
        </w:tc>
      </w:tr>
      <w:tr w:rsidR="00A6590F" w:rsidRPr="00A6590F" w:rsidTr="00A6590F">
        <w:trPr>
          <w:trHeight w:val="9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1.4.2. Забезпечення надходження до бюджету розвитку міського бюджету м. м. Новий Розділ коштів від приватизації комунального майна у сумі, передбаченій у міському бюджеті м. Новий Розділ на відповідний рік.</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2. Підготовка майна до приватизації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2.1. Виконавчий комітет Новороздільської міської ради погоджує включення об'єктів до переліку, що підлягають приватизації, а також об'єкти, які не підлягають приватизації.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2.2. До переліків об’єктів, що підлягають приватизації включаються у першу чергу: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1) об'єкти, подальше перебування яких у комунальній власності є економічно недоцільним та потребує додаткових витрат бюджетних коштів на їх утримання або розвиток;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2) підприємства, що потребують фінансового оздоровлення шляхом залучення інвестицій;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 об'єкти незавершеного будівництва, що не можуть бути добудовані за рахунок бюджетних коштів.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2.3. До переліків об’єктів, що не підлягають приватизації, можуть включатися об'єкти, які мають важливе стратегічне значення для економіки міста. </w:t>
            </w:r>
          </w:p>
        </w:tc>
      </w:tr>
      <w:tr w:rsidR="00A6590F" w:rsidRPr="00A6590F" w:rsidTr="00A6590F">
        <w:trPr>
          <w:trHeight w:val="9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2.4. Відділ комунального майна та приватизації Новороздільської міської ради, проаналізувавши пропозиції виконавчого комітету, за погодженням з постійною депутатською  комісією з питань комунального майна, ЖКГ, благоустрою, оренди та приватизації комунального майна формує: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2.4.1. Переліки об'єктів приватизації, продаж яких повинен забезпечити виконання завдань з надходження коштів від приватизації.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2.4.2. Перелік об'єктів, які не підлягають приватизації.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2.5. Переліки об'єктів, перелічені у пункті 2.4.1. затверджує міська рада. </w:t>
            </w:r>
          </w:p>
        </w:tc>
      </w:tr>
      <w:tr w:rsidR="00A6590F" w:rsidRPr="00A6590F" w:rsidTr="00A6590F">
        <w:trPr>
          <w:trHeight w:val="12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2.6. Відділ комунального майна та приватизації Новороздільської міської ради здійснює передприватизаційну підготовку об'єктів комунальної власності відповідно до Законів України “Про приватизацію державного майна“ та “Про приватизацію невеликих державних підприємств (малу приватизацію)“. </w:t>
            </w:r>
          </w:p>
        </w:tc>
      </w:tr>
      <w:tr w:rsidR="00A6590F" w:rsidRPr="00A6590F" w:rsidTr="00A6590F">
        <w:trPr>
          <w:trHeight w:val="9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lastRenderedPageBreak/>
              <w:t>2.7. Відділ комунального майна та приватизації Новороздільської міської ради щорічно готує прогноз обсягів приватизації і грошових надходжень від неї та перелік об’єктів, які пропонуються до розгляду на пленарних засіданнях міської ради щодо їх приватизації.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w:eastAsia="Times New Roman" w:hAnsi="Arial" w:cs="Arial"/>
                <w:color w:val="333333"/>
                <w:sz w:val="10"/>
                <w:szCs w:val="10"/>
                <w:lang w:eastAsia="ru-RU"/>
              </w:rPr>
              <w:t>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 Порядок застосування способів приватизації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3.1. Об'єкти приватизації класифікуються за групами. </w:t>
            </w:r>
          </w:p>
        </w:tc>
      </w:tr>
      <w:tr w:rsidR="00A6590F" w:rsidRPr="00A6590F" w:rsidTr="00A6590F">
        <w:trPr>
          <w:trHeight w:val="27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Група А– цілісні майнові комплекси підприємств, господарських об'єднань та їх структурних підрозділів, які можуть бути виділені у самостійні підприємства, у тому числі ті, що передані в оренду, перебувають у процесі реструктуризації, вартість майна яких недостатня для формування статутного фонду відкритих акціонерних товариств окремо від земельних ділянок, окреме індивідуально визначене рухоме та нерухоме майно (у тому числі будівлі, споруди разом або окремо від земельних ділянок, нежитлові приміщення); майно підприємств (окрім майнових комплексів, що належать до групи Г), що ліквідуються; майно, що залишилося після ліквідації комунальних підприємств за рішенням засновника та після закінчення процедури ліквідації комунальних підприємств, визнаних банкрутами. </w:t>
            </w:r>
          </w:p>
        </w:tc>
      </w:tr>
      <w:tr w:rsidR="00A6590F" w:rsidRPr="00A6590F" w:rsidTr="00A6590F">
        <w:trPr>
          <w:trHeight w:val="12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Група В– цілісні майнові комплекси підприємств, господарських об'єднань, вартість майна яких достатня для формування статутного фонду відкритого акціонерного товариства окремо від земельних ділянок; акції відкритих акціонерних товариств, утворених у процесі приватизації та корпоратизації (окрім об'єктів групи Г). </w:t>
            </w:r>
          </w:p>
        </w:tc>
      </w:tr>
      <w:tr w:rsidR="00A6590F" w:rsidRPr="00A6590F" w:rsidTr="00A6590F">
        <w:trPr>
          <w:trHeight w:val="15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Група Г– цілісні майнові комплекси підприємств, акції відкритих акціонерних товариств, утворених у процесі приватизації та корпоратизації, що на момент прийняття рішення про приватизацію (продаж) або затвердження уточненого плану розміщення акцій займають монопольне (домінуюче) становище на загальнодержавних ринках товарів (робіт, послуг) або мають стратегічне значення для економіки та безпеки держави.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Група Д– об'єкти незавершеного будівництва, законсервовані об'єкти. </w:t>
            </w:r>
          </w:p>
        </w:tc>
      </w:tr>
      <w:tr w:rsidR="00A6590F" w:rsidRPr="00A6590F" w:rsidTr="00A6590F">
        <w:trPr>
          <w:trHeight w:val="9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Група Е– акції (частки, паї), що належать територіальній громаді м. Львова у статутних фондах господарських товариств, інших господарських організацій та підприємств, заснованих на змішаній формі власності.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Група Ж– об'єкти охорони здоров'я, освіти, культури, фізичної культури та спорту, відпочинку і туризму незалежно від вартості. </w:t>
            </w:r>
          </w:p>
        </w:tc>
      </w:tr>
      <w:tr w:rsidR="00A6590F" w:rsidRPr="00A6590F" w:rsidTr="00A6590F">
        <w:trPr>
          <w:trHeight w:val="15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lastRenderedPageBreak/>
              <w:t>3.2. Приватизація комунального майна здійснюється у способи, визначені Законами України “Про приватизацію державного майна“ і “Про приватизацію невеликих державних підприємств (малу приватизацію)“ з врахуванням особливостей їх застосування, встановлених для окремих груп об'єктів приватизації Законами України “Про Перелік пам'яток культурної спадщини, що не підлягають приватизації“, “Про охорону культурної спадщини“, іншими законами та цією Програмою. </w:t>
            </w:r>
          </w:p>
        </w:tc>
      </w:tr>
      <w:tr w:rsidR="00A6590F" w:rsidRPr="00A6590F" w:rsidTr="00A6590F">
        <w:trPr>
          <w:trHeight w:val="9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3.3. Продаж об'єктів груп А і Ж здійснюється відповідно до Закону України “Про приватизацію невеликих державних підприємств (малу приватизацію)“ з врахуванням особливостей, визначених цією Програмою. </w:t>
            </w:r>
          </w:p>
        </w:tc>
      </w:tr>
      <w:tr w:rsidR="00A6590F" w:rsidRPr="00A6590F" w:rsidTr="00A6590F">
        <w:trPr>
          <w:trHeight w:val="21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3.4. Право на приватизацію способом викупу можуть отримати орендарі, які належно виконують умови, визначені договором оренди і Законом України “Про оренду державного та комунального майна“ (використання об'єкта оренди за цільовим призначенням, використання і збереження орендованого майна, запобігання його пошкодженню, псуванню, внесення орендної плати своєчасно та у повному обсязі і виконання інших договірних зобов’язань), своєчасно вчиняють необхідні дії для переукладення договорів оренди у разі закінчення строку дії договорів та внесення змін до нормативно-правових актів з питань оренди. </w:t>
            </w:r>
          </w:p>
        </w:tc>
      </w:tr>
      <w:tr w:rsidR="00A6590F" w:rsidRPr="00A6590F" w:rsidTr="00A6590F">
        <w:trPr>
          <w:trHeight w:val="9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3.5. Об’єкт оренди, що перебуває у користуванні орендаря, який неналежно виконує зобов’язання за договором оренди, може бути приватизований на конкурентних засадах на підставі відповідного рішення міської ради після припинення договору оренди у встановленому порядку.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3.6. Питання відшкодування невід'ємних поліпшень, здійснених орендарем за час оренди, вирішується згідно з вимогами чинного законодавства.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3.7. Суборендар має право приватизації приміщень за відповідним рішенням міської ради.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3.8. Приватизація об'єктів групи Д здійснюється відповідно до Закону України “Про особливості приватизації об'єктів незавершеного будівництва“.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3.9. Об'єкти групи Ж приватизуються переважно зі збереженням профілю та шляхом продажу їх цілісним майновим комплексом. </w:t>
            </w:r>
          </w:p>
        </w:tc>
      </w:tr>
      <w:tr w:rsidR="00A6590F" w:rsidRPr="00A6590F" w:rsidTr="00A6590F">
        <w:trPr>
          <w:trHeight w:val="12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3.10. Продаж об'єктів комунальної власності, включених до переліку об'єктів, що приватизуються на конкурентних засадах, здійснюється на конкурсах. При цьому переможець визначається виключно виходячи з найбільшої запропонованої ним за об'єкт ціни продажу та прийняття зобов'язань з виконання умов конкурсу. </w:t>
            </w:r>
          </w:p>
        </w:tc>
      </w:tr>
      <w:tr w:rsidR="00A6590F" w:rsidRPr="00A6590F" w:rsidTr="00A6590F">
        <w:trPr>
          <w:trHeight w:val="15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lastRenderedPageBreak/>
              <w:t>3.11. Покупець об’єкта комунальної власності зобов'язаний заплатити за придбаний об'єкт протягом тридцяти календарних днів з часу нотаріального посвідчення договору купівлі-продажу. За умови сплати не менш як 50 відсотків ціни продажу об'єкта протягом тридцяти календарних днів з часу нотаріального посвідчення договору купівлі-продажу термін оплати продовжується ще на тридцять календарних днів. </w:t>
            </w:r>
          </w:p>
        </w:tc>
      </w:tr>
      <w:tr w:rsidR="00A6590F" w:rsidRPr="00A6590F" w:rsidTr="00A6590F">
        <w:trPr>
          <w:trHeight w:val="21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У разі порушення строку сплати ціни продажу за укладеним договором покупець зобов’язаний сплатити пеню у розмірі облікової ставки Національного банку України від несплаченої суми за кожний день прострочення, включаючи день проведеної оплати. Пеня нараховується з тридцять першого дня від дати нотаріального посвідчення договору купівлі-продажу, у разі оплати менш як 50 відсотків ціни продажу об'єкта протягом тридцяти календарних днів з часу нотаріального посвідчення договору купівлі-продажу, та з шістдесят першого дня від дати нотаріального посвідчення договору купівлі-продажу, у разі наявної заборгованості. </w:t>
            </w:r>
          </w:p>
        </w:tc>
      </w:tr>
      <w:tr w:rsidR="00A6590F" w:rsidRPr="00A6590F" w:rsidTr="00A6590F">
        <w:trPr>
          <w:trHeight w:val="12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Несплата покупцем 50 відсотків ціни об'єкта продажу протягом тридцяти календарних днів та/або не здійснення ним повного розрахунку за об’єкт протягом шістдесяти календарних днів з часу нотаріального посвідчення договору купівлі-продажу є підставою для порушення питання про розірвання договору купівлі-продажу у встановленому законом порядку.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У разі розірвання договору купівлі-продажу згідно з вимогами чинного законодавства розмір неустойки, яку сплачують покупці, становить 20 відсотків ціни продажу об'єкта купівлі-продажу.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4. Визначення ціни об’єктів приватизації </w:t>
            </w:r>
          </w:p>
        </w:tc>
      </w:tr>
      <w:tr w:rsidR="00A6590F" w:rsidRPr="00A6590F" w:rsidTr="00A6590F">
        <w:trPr>
          <w:trHeight w:val="24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4.1. З метою приватизації об'єктів у межах ринкових цін визначення вартості об'єктів здійснюється шляхом незалежної оцінки відповідно до Закону України “Про оцінку майна, майнових прав та професійну оціночну діяльність в Україні“, Методики оцінки вартості майна, затвердженої постановою Кабінету Міністрів України від 10.12.2003 № 1891, Національного стандарту № 1 “Загальні засади оцінки майна і майнових прав“, затвердженого постановою Кабінету Міністрів України від 10.09.2003 № 1440, Національного стандарту № 2 “Оцінка нерухомого майна“, затвердженого постановою Кабінету Міністрів України від 28.10.2003 № 1442, та інших нормативно-правових актів з питань оцінки майна.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4.2. Незалежна оцінка обов'язково застосовується при визначенні вартості майна у разі його продажу на неконкурентних засадах.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4.3. Ціна продажу об'єкта при приватизації способом викупу затверджується розпорядженням міського голови.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lastRenderedPageBreak/>
              <w:t>4.4. Надання пільг з оплати за об’єкти приватизації комунальної власності чи зменшення ціни продажу об’єктів комунальної власності іншим чином не допускається.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5. Фінансове забезпечення виконання Програми </w:t>
            </w:r>
          </w:p>
        </w:tc>
      </w:tr>
      <w:tr w:rsidR="00A6590F" w:rsidRPr="00A6590F" w:rsidTr="00A6590F">
        <w:trPr>
          <w:trHeight w:val="6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Заходи, пов’язані з виконанням Програми, фінансуються з загального фонду міського бюджету м. Новий Розділ і  використовуються на: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5.1. Проведення інформаційної діяльності з висвітлення процесів приватизації. </w:t>
            </w:r>
          </w:p>
        </w:tc>
      </w:tr>
      <w:tr w:rsidR="00A6590F" w:rsidRPr="00A6590F" w:rsidTr="00A6590F">
        <w:trPr>
          <w:trHeight w:val="12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5.2. Оплату послуг організацій та осіб, залучених до процесів приватизації (оплату послуг на проведення інвентаризації та видачі технічних паспортів, проведення незалежної оцінки комунального майна суб'єктом оціночної діяльності, свідоцтв на право власності, реєстрацію права власності територіальної громади м. Новий Розділ та інші витрати).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6. Інформаційне забезпечення процесу приватизації </w:t>
            </w:r>
          </w:p>
        </w:tc>
      </w:tr>
      <w:tr w:rsidR="00A6590F" w:rsidRPr="00A6590F" w:rsidTr="00A6590F">
        <w:trPr>
          <w:trHeight w:val="12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6.1. З метою сприяння процесу приватизації та надходження коштів до міського бюджету м. Новий Розділ відділ комунального майна та приватизації протягом терміну дії Програми у межах коштів, виділених на зазначені цілі, реалізує комплекс заходів, спрямованих на забезпечення прозорості приватизації </w:t>
            </w:r>
          </w:p>
        </w:tc>
      </w:tr>
      <w:tr w:rsidR="00A6590F" w:rsidRPr="00A6590F" w:rsidTr="00A6590F">
        <w:trPr>
          <w:trHeight w:val="9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6.2. Відділ комунального майна та приватизації публікує інформацію про здійснення викупу об'єкта приватизації та про остаточну ціну і переможця конкурсу або аукціону засобах масової інформації протягом 30 днів після укладення договору купівлі-продажу. </w:t>
            </w:r>
          </w:p>
        </w:tc>
      </w:tr>
      <w:tr w:rsidR="00A6590F" w:rsidRPr="00A6590F" w:rsidTr="00A6590F">
        <w:trPr>
          <w:trHeight w:val="9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6.3. Відділ комунального майна та приватизації сприяє формуванню попиту на об'єкти приватизації шляхом підвищення рівня поінформованості потенційних покупців через оприлюднення у засобах масової інформації відповідних матеріалів щодо процесів приватизації у м. Новий Розділ.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7. Контроль за виконанням Програми </w:t>
            </w:r>
          </w:p>
        </w:tc>
      </w:tr>
      <w:tr w:rsidR="00A6590F" w:rsidRPr="00A6590F" w:rsidTr="00A6590F">
        <w:trPr>
          <w:trHeight w:val="9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7.1. Контроль за виконанням Програми здійснює виконавчий комітет та постійна депутатська комісія з питань комунального майна, ЖКГ, благоустрою оренди та приватизації комунального майна Новороздільської міської ради</w:t>
            </w:r>
          </w:p>
        </w:tc>
      </w:tr>
      <w:tr w:rsidR="00A6590F" w:rsidRPr="00A6590F" w:rsidTr="00A6590F">
        <w:trPr>
          <w:trHeight w:val="1500"/>
        </w:trPr>
        <w:tc>
          <w:tcPr>
            <w:tcW w:w="11500" w:type="dxa"/>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7.2. Питання, не врегульовані Програмою, вирішуються відповідно до Законів України “Про приватизацію невеликих державних підприємств (малу приватизацію)“, “Про особливості приватизації об'єктів незавершеного будівництва“, “Про оцінку майна, майнових прав та професійну оціночну діяльність в Україні“, постанов Кабінету Міністрів України, наказів Фонду державного майна України та інших нормативно-правових актів з питань приватизації. </w:t>
            </w:r>
          </w:p>
        </w:tc>
      </w:tr>
      <w:tr w:rsidR="00A6590F" w:rsidRPr="00A6590F" w:rsidTr="00A6590F">
        <w:trPr>
          <w:trHeight w:val="300"/>
        </w:trPr>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lastRenderedPageBreak/>
              <w:t>Начальник відділу комунального </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майна та приватизації                         (підпис)                          В.Т.Гупало</w:t>
            </w:r>
          </w:p>
        </w:tc>
      </w:tr>
      <w:tr w:rsidR="00A6590F" w:rsidRPr="00A6590F" w:rsidTr="00A6590F">
        <w:trPr>
          <w:trHeight w:val="300"/>
        </w:trPr>
        <w:tc>
          <w:tcPr>
            <w:tcW w:w="11500" w:type="dxa"/>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4"/>
                <w:szCs w:val="24"/>
                <w:lang w:eastAsia="ru-RU"/>
              </w:rPr>
              <w:t> </w:t>
            </w:r>
          </w:p>
        </w:tc>
      </w:tr>
      <w:tr w:rsidR="00A6590F" w:rsidRPr="00A6590F" w:rsidTr="00A6590F">
        <w:trPr>
          <w:trHeight w:val="255"/>
        </w:trPr>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right"/>
              <w:rPr>
                <w:rFonts w:ascii="Arial" w:eastAsia="Times New Roman" w:hAnsi="Arial" w:cs="Arial"/>
                <w:color w:val="333333"/>
                <w:sz w:val="10"/>
                <w:szCs w:val="10"/>
                <w:lang w:eastAsia="ru-RU"/>
              </w:rPr>
            </w:pPr>
            <w:r w:rsidRPr="00A6590F">
              <w:rPr>
                <w:rFonts w:ascii="Arial" w:eastAsia="Times New Roman" w:hAnsi="Arial" w:cs="Arial"/>
                <w:color w:val="333333"/>
                <w:sz w:val="10"/>
                <w:szCs w:val="10"/>
                <w:lang w:eastAsia="ru-RU"/>
              </w:rPr>
              <w:t> </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right"/>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 Додаток  1 </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right"/>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до рішення  виконкому</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right"/>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 №406 від 10.12.10р.</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w:eastAsia="Times New Roman" w:hAnsi="Arial" w:cs="Arial"/>
                <w:color w:val="333333"/>
                <w:sz w:val="10"/>
                <w:szCs w:val="10"/>
                <w:lang w:eastAsia="ru-RU"/>
              </w:rPr>
              <w:t> </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Перелік об'єктів комунальної власності, які</w:t>
            </w: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підлягатимуть приватизації у 2011році</w:t>
            </w:r>
          </w:p>
        </w:tc>
      </w:tr>
    </w:tbl>
    <w:p w:rsidR="00A6590F" w:rsidRPr="00A6590F" w:rsidRDefault="00A6590F" w:rsidP="00A6590F">
      <w:pPr>
        <w:spacing w:after="0" w:line="240" w:lineRule="auto"/>
        <w:rPr>
          <w:rFonts w:ascii="Times New Roman" w:eastAsia="Times New Roman" w:hAnsi="Times New Roman" w:cs="Times New Roman"/>
          <w:vanish/>
          <w:sz w:val="24"/>
          <w:szCs w:val="24"/>
          <w:lang w:eastAsia="ru-RU"/>
        </w:rPr>
      </w:pPr>
    </w:p>
    <w:tbl>
      <w:tblPr>
        <w:tblW w:w="10480" w:type="dxa"/>
        <w:shd w:val="clear" w:color="auto" w:fill="FAFAFA"/>
        <w:tblCellMar>
          <w:left w:w="0" w:type="dxa"/>
          <w:right w:w="0" w:type="dxa"/>
        </w:tblCellMar>
        <w:tblLook w:val="04A0"/>
      </w:tblPr>
      <w:tblGrid>
        <w:gridCol w:w="820"/>
        <w:gridCol w:w="4280"/>
        <w:gridCol w:w="2200"/>
        <w:gridCol w:w="1540"/>
        <w:gridCol w:w="1640"/>
      </w:tblGrid>
      <w:tr w:rsidR="00A6590F" w:rsidRPr="00A6590F" w:rsidTr="00A6590F">
        <w:trPr>
          <w:trHeight w:val="765"/>
        </w:trPr>
        <w:tc>
          <w:tcPr>
            <w:tcW w:w="8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b/>
                <w:bCs/>
                <w:color w:val="000000"/>
                <w:sz w:val="20"/>
                <w:lang w:eastAsia="ru-RU"/>
              </w:rPr>
              <w:t>№ з\п</w:t>
            </w:r>
          </w:p>
        </w:tc>
        <w:tc>
          <w:tcPr>
            <w:tcW w:w="4280" w:type="dxa"/>
            <w:tcBorders>
              <w:top w:val="single" w:sz="8" w:space="0" w:color="auto"/>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b/>
                <w:bCs/>
                <w:color w:val="000000"/>
                <w:sz w:val="20"/>
                <w:lang w:eastAsia="ru-RU"/>
              </w:rPr>
              <w:t>Назва орендованого об'єкту,</w:t>
            </w:r>
            <w:r w:rsidRPr="00A6590F">
              <w:rPr>
                <w:rFonts w:ascii="Arial CYR" w:eastAsia="Times New Roman" w:hAnsi="Arial CYR" w:cs="Arial CYR"/>
                <w:b/>
                <w:bCs/>
                <w:color w:val="000000"/>
                <w:sz w:val="20"/>
                <w:szCs w:val="20"/>
                <w:lang w:eastAsia="ru-RU"/>
              </w:rPr>
              <w:br/>
            </w:r>
            <w:r w:rsidRPr="00A6590F">
              <w:rPr>
                <w:rFonts w:ascii="Arial CYR" w:eastAsia="Times New Roman" w:hAnsi="Arial CYR" w:cs="Arial CYR"/>
                <w:b/>
                <w:bCs/>
                <w:color w:val="000000"/>
                <w:sz w:val="20"/>
                <w:lang w:eastAsia="ru-RU"/>
              </w:rPr>
              <w:t>що підлягає відчуженню,</w:t>
            </w:r>
            <w:r w:rsidRPr="00A6590F">
              <w:rPr>
                <w:rFonts w:ascii="Arial CYR" w:eastAsia="Times New Roman" w:hAnsi="Arial CYR" w:cs="Arial CYR"/>
                <w:b/>
                <w:bCs/>
                <w:color w:val="000000"/>
                <w:sz w:val="20"/>
                <w:szCs w:val="20"/>
                <w:lang w:eastAsia="ru-RU"/>
              </w:rPr>
              <w:br/>
            </w:r>
            <w:r w:rsidRPr="00A6590F">
              <w:rPr>
                <w:rFonts w:ascii="Arial CYR" w:eastAsia="Times New Roman" w:hAnsi="Arial CYR" w:cs="Arial CYR"/>
                <w:b/>
                <w:bCs/>
                <w:color w:val="000000"/>
                <w:sz w:val="20"/>
                <w:lang w:eastAsia="ru-RU"/>
              </w:rPr>
              <w:t> керівник П.І.П приватного підприємця</w:t>
            </w:r>
          </w:p>
        </w:tc>
        <w:tc>
          <w:tcPr>
            <w:tcW w:w="2200" w:type="dxa"/>
            <w:tcBorders>
              <w:top w:val="single" w:sz="8" w:space="0" w:color="auto"/>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b/>
                <w:bCs/>
                <w:color w:val="000000"/>
                <w:sz w:val="20"/>
                <w:lang w:eastAsia="ru-RU"/>
              </w:rPr>
              <w:t>Адреса</w:t>
            </w:r>
          </w:p>
        </w:tc>
        <w:tc>
          <w:tcPr>
            <w:tcW w:w="1540" w:type="dxa"/>
            <w:tcBorders>
              <w:top w:val="single" w:sz="8" w:space="0" w:color="auto"/>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b/>
                <w:bCs/>
                <w:color w:val="000000"/>
                <w:sz w:val="20"/>
                <w:lang w:eastAsia="ru-RU"/>
              </w:rPr>
              <w:t>Загальна</w:t>
            </w:r>
            <w:r w:rsidRPr="00A6590F">
              <w:rPr>
                <w:rFonts w:ascii="Arial CYR" w:eastAsia="Times New Roman" w:hAnsi="Arial CYR" w:cs="Arial CYR"/>
                <w:b/>
                <w:bCs/>
                <w:color w:val="000000"/>
                <w:sz w:val="20"/>
                <w:szCs w:val="20"/>
                <w:lang w:eastAsia="ru-RU"/>
              </w:rPr>
              <w:br/>
            </w:r>
            <w:r w:rsidRPr="00A6590F">
              <w:rPr>
                <w:rFonts w:ascii="Arial CYR" w:eastAsia="Times New Roman" w:hAnsi="Arial CYR" w:cs="Arial CYR"/>
                <w:b/>
                <w:bCs/>
                <w:color w:val="000000"/>
                <w:sz w:val="20"/>
                <w:lang w:eastAsia="ru-RU"/>
              </w:rPr>
              <w:t>площа</w:t>
            </w:r>
          </w:p>
        </w:tc>
        <w:tc>
          <w:tcPr>
            <w:tcW w:w="1640" w:type="dxa"/>
            <w:tcBorders>
              <w:top w:val="single" w:sz="8" w:space="0" w:color="auto"/>
              <w:left w:val="nil"/>
              <w:bottom w:val="single" w:sz="4" w:space="0" w:color="auto"/>
              <w:right w:val="single" w:sz="8"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b/>
                <w:bCs/>
                <w:color w:val="000000"/>
                <w:sz w:val="20"/>
                <w:lang w:eastAsia="ru-RU"/>
              </w:rPr>
              <w:t>Спосіб</w:t>
            </w:r>
            <w:r w:rsidRPr="00A6590F">
              <w:rPr>
                <w:rFonts w:ascii="Arial CYR" w:eastAsia="Times New Roman" w:hAnsi="Arial CYR" w:cs="Arial CYR"/>
                <w:b/>
                <w:bCs/>
                <w:color w:val="000000"/>
                <w:sz w:val="20"/>
                <w:szCs w:val="20"/>
                <w:lang w:eastAsia="ru-RU"/>
              </w:rPr>
              <w:br/>
            </w:r>
            <w:r w:rsidRPr="00A6590F">
              <w:rPr>
                <w:rFonts w:ascii="Arial CYR" w:eastAsia="Times New Roman" w:hAnsi="Arial CYR" w:cs="Arial CYR"/>
                <w:b/>
                <w:bCs/>
                <w:color w:val="000000"/>
                <w:sz w:val="20"/>
                <w:lang w:eastAsia="ru-RU"/>
              </w:rPr>
              <w:t> приватизації</w:t>
            </w:r>
          </w:p>
        </w:tc>
      </w:tr>
      <w:tr w:rsidR="00A6590F" w:rsidRPr="00A6590F" w:rsidTr="00A6590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4</w:t>
            </w:r>
          </w:p>
        </w:tc>
        <w:tc>
          <w:tcPr>
            <w:tcW w:w="0" w:type="auto"/>
            <w:tcBorders>
              <w:top w:val="nil"/>
              <w:left w:val="nil"/>
              <w:bottom w:val="single" w:sz="4" w:space="0" w:color="auto"/>
              <w:right w:val="single" w:sz="8"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5</w:t>
            </w:r>
          </w:p>
        </w:tc>
      </w:tr>
      <w:tr w:rsidR="00A6590F" w:rsidRPr="00A6590F" w:rsidTr="00A6590F">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Підвальне нежитлове приміщення </w:t>
            </w:r>
          </w:p>
        </w:tc>
        <w:tc>
          <w:tcPr>
            <w:tcW w:w="0" w:type="auto"/>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вул. Винниченка, 9</w:t>
            </w:r>
          </w:p>
        </w:tc>
        <w:tc>
          <w:tcPr>
            <w:tcW w:w="0" w:type="auto"/>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214,3</w:t>
            </w:r>
          </w:p>
        </w:tc>
        <w:tc>
          <w:tcPr>
            <w:tcW w:w="0" w:type="auto"/>
            <w:tcBorders>
              <w:top w:val="nil"/>
              <w:left w:val="nil"/>
              <w:bottom w:val="single" w:sz="4" w:space="0" w:color="auto"/>
              <w:right w:val="single" w:sz="8"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конкурс</w:t>
            </w:r>
          </w:p>
        </w:tc>
      </w:tr>
      <w:tr w:rsidR="00A6590F" w:rsidRPr="00A6590F" w:rsidTr="00A6590F">
        <w:trPr>
          <w:trHeight w:val="57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2.</w:t>
            </w:r>
          </w:p>
        </w:tc>
        <w:tc>
          <w:tcPr>
            <w:tcW w:w="4280" w:type="dxa"/>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ПП. „БІЗНЕС-Центр” дир. Ковалевська Н.І.,</w:t>
            </w:r>
            <w:r w:rsidRPr="00A6590F">
              <w:rPr>
                <w:rFonts w:ascii="Arial CYR" w:eastAsia="Times New Roman" w:hAnsi="Arial CYR" w:cs="Arial CYR"/>
                <w:color w:val="000000"/>
                <w:sz w:val="20"/>
                <w:szCs w:val="20"/>
                <w:lang w:eastAsia="ru-RU"/>
              </w:rPr>
              <w:br/>
              <w:t>підвальне нежитлове приміщення</w:t>
            </w:r>
          </w:p>
        </w:tc>
        <w:tc>
          <w:tcPr>
            <w:tcW w:w="0" w:type="auto"/>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вул. Винниченка, 9</w:t>
            </w:r>
          </w:p>
        </w:tc>
        <w:tc>
          <w:tcPr>
            <w:tcW w:w="0" w:type="auto"/>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105,2</w:t>
            </w:r>
          </w:p>
        </w:tc>
        <w:tc>
          <w:tcPr>
            <w:tcW w:w="0" w:type="auto"/>
            <w:tcBorders>
              <w:top w:val="nil"/>
              <w:left w:val="nil"/>
              <w:bottom w:val="single" w:sz="4" w:space="0" w:color="auto"/>
              <w:right w:val="single" w:sz="8"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викуп </w:t>
            </w:r>
          </w:p>
        </w:tc>
      </w:tr>
      <w:tr w:rsidR="00A6590F" w:rsidRPr="00A6590F" w:rsidTr="00A6590F">
        <w:trPr>
          <w:trHeight w:val="51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3.</w:t>
            </w:r>
          </w:p>
        </w:tc>
        <w:tc>
          <w:tcPr>
            <w:tcW w:w="4280" w:type="dxa"/>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орендар ПП Чорненький М.П.,</w:t>
            </w:r>
            <w:r w:rsidRPr="00A6590F">
              <w:rPr>
                <w:rFonts w:ascii="Arial CYR" w:eastAsia="Times New Roman" w:hAnsi="Arial CYR" w:cs="Arial CYR"/>
                <w:color w:val="000000"/>
                <w:sz w:val="20"/>
                <w:szCs w:val="20"/>
                <w:lang w:eastAsia="ru-RU"/>
              </w:rPr>
              <w:br/>
              <w:t>нежитлове підвальне приміщення.</w:t>
            </w:r>
          </w:p>
        </w:tc>
        <w:tc>
          <w:tcPr>
            <w:tcW w:w="0" w:type="auto"/>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пр.Шевченка,12</w:t>
            </w:r>
          </w:p>
        </w:tc>
        <w:tc>
          <w:tcPr>
            <w:tcW w:w="0" w:type="auto"/>
            <w:tcBorders>
              <w:top w:val="nil"/>
              <w:left w:val="nil"/>
              <w:bottom w:val="single" w:sz="4"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50,73</w:t>
            </w:r>
          </w:p>
        </w:tc>
        <w:tc>
          <w:tcPr>
            <w:tcW w:w="0" w:type="auto"/>
            <w:tcBorders>
              <w:top w:val="nil"/>
              <w:left w:val="nil"/>
              <w:bottom w:val="single" w:sz="4" w:space="0" w:color="auto"/>
              <w:right w:val="single" w:sz="8"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викуп </w:t>
            </w:r>
          </w:p>
        </w:tc>
      </w:tr>
      <w:tr w:rsidR="00A6590F" w:rsidRPr="00A6590F" w:rsidTr="00A6590F">
        <w:trPr>
          <w:trHeight w:val="525"/>
        </w:trPr>
        <w:tc>
          <w:tcPr>
            <w:tcW w:w="0" w:type="auto"/>
            <w:tcBorders>
              <w:top w:val="nil"/>
              <w:left w:val="single" w:sz="8" w:space="0" w:color="auto"/>
              <w:bottom w:val="single" w:sz="8"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4.</w:t>
            </w:r>
          </w:p>
        </w:tc>
        <w:tc>
          <w:tcPr>
            <w:tcW w:w="4280" w:type="dxa"/>
            <w:tcBorders>
              <w:top w:val="nil"/>
              <w:left w:val="nil"/>
              <w:bottom w:val="single" w:sz="8"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ТзОВ НВФ „ІНОТЕХ”, дир. Клок О.Р.,</w:t>
            </w:r>
            <w:r w:rsidRPr="00A6590F">
              <w:rPr>
                <w:rFonts w:ascii="Arial CYR" w:eastAsia="Times New Roman" w:hAnsi="Arial CYR" w:cs="Arial CYR"/>
                <w:color w:val="000000"/>
                <w:sz w:val="20"/>
                <w:szCs w:val="20"/>
                <w:lang w:eastAsia="ru-RU"/>
              </w:rPr>
              <w:br/>
              <w:t> нежитлові приміщення</w:t>
            </w:r>
          </w:p>
        </w:tc>
        <w:tc>
          <w:tcPr>
            <w:tcW w:w="0" w:type="auto"/>
            <w:tcBorders>
              <w:top w:val="nil"/>
              <w:left w:val="nil"/>
              <w:bottom w:val="single" w:sz="8"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вул. Винниченка,7-а</w:t>
            </w:r>
          </w:p>
        </w:tc>
        <w:tc>
          <w:tcPr>
            <w:tcW w:w="0" w:type="auto"/>
            <w:tcBorders>
              <w:top w:val="nil"/>
              <w:left w:val="nil"/>
              <w:bottom w:val="single" w:sz="8" w:space="0" w:color="auto"/>
              <w:right w:val="single" w:sz="4"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208,1</w:t>
            </w:r>
          </w:p>
        </w:tc>
        <w:tc>
          <w:tcPr>
            <w:tcW w:w="0" w:type="auto"/>
            <w:tcBorders>
              <w:top w:val="nil"/>
              <w:left w:val="nil"/>
              <w:bottom w:val="single" w:sz="8" w:space="0" w:color="auto"/>
              <w:right w:val="single" w:sz="8" w:space="0" w:color="auto"/>
            </w:tcBorders>
            <w:shd w:val="clear" w:color="auto" w:fill="auto"/>
            <w:vAlign w:val="center"/>
            <w:hideMark/>
          </w:tcPr>
          <w:p w:rsidR="00A6590F" w:rsidRPr="00A6590F" w:rsidRDefault="00A6590F" w:rsidP="00A6590F">
            <w:pPr>
              <w:spacing w:before="100" w:beforeAutospacing="1" w:after="100" w:afterAutospacing="1" w:line="240" w:lineRule="auto"/>
              <w:jc w:val="center"/>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викуп </w:t>
            </w:r>
          </w:p>
        </w:tc>
      </w:tr>
    </w:tbl>
    <w:p w:rsidR="00A6590F" w:rsidRPr="00A6590F" w:rsidRDefault="00A6590F" w:rsidP="00A6590F">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A6590F" w:rsidRPr="00A6590F" w:rsidTr="00A6590F">
        <w:trPr>
          <w:trHeight w:val="255"/>
        </w:trPr>
        <w:tc>
          <w:tcPr>
            <w:tcW w:w="0" w:type="auto"/>
            <w:shd w:val="clear" w:color="auto" w:fill="FAFAFA"/>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p>
        </w:tc>
      </w:tr>
      <w:tr w:rsidR="00A6590F" w:rsidRPr="00A6590F" w:rsidTr="00A6590F">
        <w:trPr>
          <w:trHeight w:val="255"/>
        </w:trPr>
        <w:tc>
          <w:tcPr>
            <w:tcW w:w="0" w:type="auto"/>
            <w:tcBorders>
              <w:top w:val="nil"/>
              <w:left w:val="nil"/>
              <w:bottom w:val="nil"/>
              <w:right w:val="nil"/>
            </w:tcBorders>
            <w:shd w:val="clear" w:color="auto" w:fill="auto"/>
            <w:vAlign w:val="center"/>
            <w:hideMark/>
          </w:tcPr>
          <w:p w:rsidR="00A6590F" w:rsidRPr="00A6590F" w:rsidRDefault="00A6590F" w:rsidP="00A6590F">
            <w:pPr>
              <w:spacing w:after="0" w:line="240" w:lineRule="auto"/>
              <w:rPr>
                <w:rFonts w:ascii="Arial" w:eastAsia="Times New Roman" w:hAnsi="Arial" w:cs="Arial"/>
                <w:color w:val="333333"/>
                <w:sz w:val="10"/>
                <w:szCs w:val="10"/>
                <w:lang w:eastAsia="ru-RU"/>
              </w:rPr>
            </w:pPr>
            <w:r w:rsidRPr="00A6590F">
              <w:rPr>
                <w:rFonts w:ascii="Arial CYR" w:eastAsia="Times New Roman" w:hAnsi="Arial CYR" w:cs="Arial CYR"/>
                <w:color w:val="000000"/>
                <w:sz w:val="20"/>
                <w:szCs w:val="20"/>
                <w:lang w:eastAsia="ru-RU"/>
              </w:rPr>
              <w:t>Головний спеціаліст ВКМ та приватизації         (підпис)              С.Я.Романів</w:t>
            </w:r>
          </w:p>
        </w:tc>
      </w:tr>
    </w:tbl>
    <w:p w:rsidR="00395D23" w:rsidRPr="00A6590F" w:rsidRDefault="00395D23" w:rsidP="00A6590F"/>
    <w:sectPr w:rsidR="00395D23" w:rsidRPr="00A6590F"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compat/>
  <w:rsids>
    <w:rsidRoot w:val="00506A51"/>
    <w:rsid w:val="00026197"/>
    <w:rsid w:val="000522BB"/>
    <w:rsid w:val="00073E1C"/>
    <w:rsid w:val="00082608"/>
    <w:rsid w:val="000A0BEF"/>
    <w:rsid w:val="000C155E"/>
    <w:rsid w:val="000F5072"/>
    <w:rsid w:val="00120BAA"/>
    <w:rsid w:val="00124F4E"/>
    <w:rsid w:val="00141074"/>
    <w:rsid w:val="00153D92"/>
    <w:rsid w:val="00161D1C"/>
    <w:rsid w:val="00170359"/>
    <w:rsid w:val="001A0874"/>
    <w:rsid w:val="00270C44"/>
    <w:rsid w:val="002B456A"/>
    <w:rsid w:val="002B5C36"/>
    <w:rsid w:val="002E3BDF"/>
    <w:rsid w:val="00330FA0"/>
    <w:rsid w:val="00345A9C"/>
    <w:rsid w:val="00395D23"/>
    <w:rsid w:val="003A39DC"/>
    <w:rsid w:val="003B7ED8"/>
    <w:rsid w:val="003C1DD0"/>
    <w:rsid w:val="003C72B2"/>
    <w:rsid w:val="00431C38"/>
    <w:rsid w:val="004444BB"/>
    <w:rsid w:val="00483336"/>
    <w:rsid w:val="004A4003"/>
    <w:rsid w:val="00504E05"/>
    <w:rsid w:val="00506A51"/>
    <w:rsid w:val="00510683"/>
    <w:rsid w:val="00533A78"/>
    <w:rsid w:val="0053448B"/>
    <w:rsid w:val="005611EE"/>
    <w:rsid w:val="00566E78"/>
    <w:rsid w:val="005834FB"/>
    <w:rsid w:val="005C3FF5"/>
    <w:rsid w:val="005D25FE"/>
    <w:rsid w:val="005F53AF"/>
    <w:rsid w:val="005F55E8"/>
    <w:rsid w:val="006135FE"/>
    <w:rsid w:val="0066165E"/>
    <w:rsid w:val="006721E1"/>
    <w:rsid w:val="006F543B"/>
    <w:rsid w:val="0073666E"/>
    <w:rsid w:val="007370C8"/>
    <w:rsid w:val="00743D53"/>
    <w:rsid w:val="00750C5C"/>
    <w:rsid w:val="00751585"/>
    <w:rsid w:val="0078518E"/>
    <w:rsid w:val="007A52D1"/>
    <w:rsid w:val="007C73C2"/>
    <w:rsid w:val="007D1C53"/>
    <w:rsid w:val="007D7CCA"/>
    <w:rsid w:val="00820F8E"/>
    <w:rsid w:val="0082146B"/>
    <w:rsid w:val="00827194"/>
    <w:rsid w:val="00852103"/>
    <w:rsid w:val="008D1531"/>
    <w:rsid w:val="008D601B"/>
    <w:rsid w:val="008F2D9E"/>
    <w:rsid w:val="0090285A"/>
    <w:rsid w:val="00935D13"/>
    <w:rsid w:val="009618C7"/>
    <w:rsid w:val="00962CE4"/>
    <w:rsid w:val="0096570F"/>
    <w:rsid w:val="00A16DDA"/>
    <w:rsid w:val="00A310FC"/>
    <w:rsid w:val="00A42488"/>
    <w:rsid w:val="00A45367"/>
    <w:rsid w:val="00A6590F"/>
    <w:rsid w:val="00A97F45"/>
    <w:rsid w:val="00B04878"/>
    <w:rsid w:val="00B40044"/>
    <w:rsid w:val="00C00323"/>
    <w:rsid w:val="00CD23B0"/>
    <w:rsid w:val="00CD35B8"/>
    <w:rsid w:val="00CD6453"/>
    <w:rsid w:val="00D02A3D"/>
    <w:rsid w:val="00D31D81"/>
    <w:rsid w:val="00D50326"/>
    <w:rsid w:val="00D73A19"/>
    <w:rsid w:val="00D748AA"/>
    <w:rsid w:val="00DA655D"/>
    <w:rsid w:val="00DE3BA5"/>
    <w:rsid w:val="00DF02B9"/>
    <w:rsid w:val="00E0644A"/>
    <w:rsid w:val="00E10A8C"/>
    <w:rsid w:val="00E13B56"/>
    <w:rsid w:val="00E317DC"/>
    <w:rsid w:val="00E34131"/>
    <w:rsid w:val="00E41484"/>
    <w:rsid w:val="00E911E8"/>
    <w:rsid w:val="00ED5F3D"/>
    <w:rsid w:val="00EE7C2F"/>
    <w:rsid w:val="00EF7800"/>
    <w:rsid w:val="00F04A67"/>
    <w:rsid w:val="00F055BA"/>
    <w:rsid w:val="00F87AE4"/>
    <w:rsid w:val="00F94405"/>
    <w:rsid w:val="00FF6B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5598415">
      <w:bodyDiv w:val="1"/>
      <w:marLeft w:val="0"/>
      <w:marRight w:val="0"/>
      <w:marTop w:val="0"/>
      <w:marBottom w:val="0"/>
      <w:divBdr>
        <w:top w:val="none" w:sz="0" w:space="0" w:color="auto"/>
        <w:left w:val="none" w:sz="0" w:space="0" w:color="auto"/>
        <w:bottom w:val="none" w:sz="0" w:space="0" w:color="auto"/>
        <w:right w:val="none" w:sz="0" w:space="0" w:color="auto"/>
      </w:divBdr>
    </w:div>
    <w:div w:id="11497816">
      <w:bodyDiv w:val="1"/>
      <w:marLeft w:val="0"/>
      <w:marRight w:val="0"/>
      <w:marTop w:val="0"/>
      <w:marBottom w:val="0"/>
      <w:divBdr>
        <w:top w:val="none" w:sz="0" w:space="0" w:color="auto"/>
        <w:left w:val="none" w:sz="0" w:space="0" w:color="auto"/>
        <w:bottom w:val="none" w:sz="0" w:space="0" w:color="auto"/>
        <w:right w:val="none" w:sz="0" w:space="0" w:color="auto"/>
      </w:divBdr>
    </w:div>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49236979">
      <w:bodyDiv w:val="1"/>
      <w:marLeft w:val="0"/>
      <w:marRight w:val="0"/>
      <w:marTop w:val="0"/>
      <w:marBottom w:val="0"/>
      <w:divBdr>
        <w:top w:val="none" w:sz="0" w:space="0" w:color="auto"/>
        <w:left w:val="none" w:sz="0" w:space="0" w:color="auto"/>
        <w:bottom w:val="none" w:sz="0" w:space="0" w:color="auto"/>
        <w:right w:val="none" w:sz="0" w:space="0" w:color="auto"/>
      </w:divBdr>
    </w:div>
    <w:div w:id="63187702">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41572690">
      <w:bodyDiv w:val="1"/>
      <w:marLeft w:val="0"/>
      <w:marRight w:val="0"/>
      <w:marTop w:val="0"/>
      <w:marBottom w:val="0"/>
      <w:divBdr>
        <w:top w:val="none" w:sz="0" w:space="0" w:color="auto"/>
        <w:left w:val="none" w:sz="0" w:space="0" w:color="auto"/>
        <w:bottom w:val="none" w:sz="0" w:space="0" w:color="auto"/>
        <w:right w:val="none" w:sz="0" w:space="0" w:color="auto"/>
      </w:divBdr>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83198570">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63674673">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1544366">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85883807">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67823885">
      <w:bodyDiv w:val="1"/>
      <w:marLeft w:val="0"/>
      <w:marRight w:val="0"/>
      <w:marTop w:val="0"/>
      <w:marBottom w:val="0"/>
      <w:divBdr>
        <w:top w:val="none" w:sz="0" w:space="0" w:color="auto"/>
        <w:left w:val="none" w:sz="0" w:space="0" w:color="auto"/>
        <w:bottom w:val="none" w:sz="0" w:space="0" w:color="auto"/>
        <w:right w:val="none" w:sz="0" w:space="0" w:color="auto"/>
      </w:divBdr>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496650588">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49146729">
      <w:bodyDiv w:val="1"/>
      <w:marLeft w:val="0"/>
      <w:marRight w:val="0"/>
      <w:marTop w:val="0"/>
      <w:marBottom w:val="0"/>
      <w:divBdr>
        <w:top w:val="none" w:sz="0" w:space="0" w:color="auto"/>
        <w:left w:val="none" w:sz="0" w:space="0" w:color="auto"/>
        <w:bottom w:val="none" w:sz="0" w:space="0" w:color="auto"/>
        <w:right w:val="none" w:sz="0" w:space="0" w:color="auto"/>
      </w:divBdr>
    </w:div>
    <w:div w:id="556209233">
      <w:bodyDiv w:val="1"/>
      <w:marLeft w:val="0"/>
      <w:marRight w:val="0"/>
      <w:marTop w:val="0"/>
      <w:marBottom w:val="0"/>
      <w:divBdr>
        <w:top w:val="none" w:sz="0" w:space="0" w:color="auto"/>
        <w:left w:val="none" w:sz="0" w:space="0" w:color="auto"/>
        <w:bottom w:val="none" w:sz="0" w:space="0" w:color="auto"/>
        <w:right w:val="none" w:sz="0" w:space="0" w:color="auto"/>
      </w:divBdr>
    </w:div>
    <w:div w:id="561527195">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01037757">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653530116">
      <w:bodyDiv w:val="1"/>
      <w:marLeft w:val="0"/>
      <w:marRight w:val="0"/>
      <w:marTop w:val="0"/>
      <w:marBottom w:val="0"/>
      <w:divBdr>
        <w:top w:val="none" w:sz="0" w:space="0" w:color="auto"/>
        <w:left w:val="none" w:sz="0" w:space="0" w:color="auto"/>
        <w:bottom w:val="none" w:sz="0" w:space="0" w:color="auto"/>
        <w:right w:val="none" w:sz="0" w:space="0" w:color="auto"/>
      </w:divBdr>
    </w:div>
    <w:div w:id="656962084">
      <w:bodyDiv w:val="1"/>
      <w:marLeft w:val="0"/>
      <w:marRight w:val="0"/>
      <w:marTop w:val="0"/>
      <w:marBottom w:val="0"/>
      <w:divBdr>
        <w:top w:val="none" w:sz="0" w:space="0" w:color="auto"/>
        <w:left w:val="none" w:sz="0" w:space="0" w:color="auto"/>
        <w:bottom w:val="none" w:sz="0" w:space="0" w:color="auto"/>
        <w:right w:val="none" w:sz="0" w:space="0" w:color="auto"/>
      </w:divBdr>
    </w:div>
    <w:div w:id="672924907">
      <w:bodyDiv w:val="1"/>
      <w:marLeft w:val="0"/>
      <w:marRight w:val="0"/>
      <w:marTop w:val="0"/>
      <w:marBottom w:val="0"/>
      <w:divBdr>
        <w:top w:val="none" w:sz="0" w:space="0" w:color="auto"/>
        <w:left w:val="none" w:sz="0" w:space="0" w:color="auto"/>
        <w:bottom w:val="none" w:sz="0" w:space="0" w:color="auto"/>
        <w:right w:val="none" w:sz="0" w:space="0" w:color="auto"/>
      </w:divBdr>
    </w:div>
    <w:div w:id="684862811">
      <w:bodyDiv w:val="1"/>
      <w:marLeft w:val="0"/>
      <w:marRight w:val="0"/>
      <w:marTop w:val="0"/>
      <w:marBottom w:val="0"/>
      <w:divBdr>
        <w:top w:val="none" w:sz="0" w:space="0" w:color="auto"/>
        <w:left w:val="none" w:sz="0" w:space="0" w:color="auto"/>
        <w:bottom w:val="none" w:sz="0" w:space="0" w:color="auto"/>
        <w:right w:val="none" w:sz="0" w:space="0" w:color="auto"/>
      </w:divBdr>
    </w:div>
    <w:div w:id="703285594">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805440382">
      <w:bodyDiv w:val="1"/>
      <w:marLeft w:val="0"/>
      <w:marRight w:val="0"/>
      <w:marTop w:val="0"/>
      <w:marBottom w:val="0"/>
      <w:divBdr>
        <w:top w:val="none" w:sz="0" w:space="0" w:color="auto"/>
        <w:left w:val="none" w:sz="0" w:space="0" w:color="auto"/>
        <w:bottom w:val="none" w:sz="0" w:space="0" w:color="auto"/>
        <w:right w:val="none" w:sz="0" w:space="0" w:color="auto"/>
      </w:divBdr>
    </w:div>
    <w:div w:id="828910167">
      <w:bodyDiv w:val="1"/>
      <w:marLeft w:val="0"/>
      <w:marRight w:val="0"/>
      <w:marTop w:val="0"/>
      <w:marBottom w:val="0"/>
      <w:divBdr>
        <w:top w:val="none" w:sz="0" w:space="0" w:color="auto"/>
        <w:left w:val="none" w:sz="0" w:space="0" w:color="auto"/>
        <w:bottom w:val="none" w:sz="0" w:space="0" w:color="auto"/>
        <w:right w:val="none" w:sz="0" w:space="0" w:color="auto"/>
      </w:divBdr>
    </w:div>
    <w:div w:id="853030062">
      <w:bodyDiv w:val="1"/>
      <w:marLeft w:val="0"/>
      <w:marRight w:val="0"/>
      <w:marTop w:val="0"/>
      <w:marBottom w:val="0"/>
      <w:divBdr>
        <w:top w:val="none" w:sz="0" w:space="0" w:color="auto"/>
        <w:left w:val="none" w:sz="0" w:space="0" w:color="auto"/>
        <w:bottom w:val="none" w:sz="0" w:space="0" w:color="auto"/>
        <w:right w:val="none" w:sz="0" w:space="0" w:color="auto"/>
      </w:divBdr>
    </w:div>
    <w:div w:id="883294809">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966814315">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49066910">
      <w:bodyDiv w:val="1"/>
      <w:marLeft w:val="0"/>
      <w:marRight w:val="0"/>
      <w:marTop w:val="0"/>
      <w:marBottom w:val="0"/>
      <w:divBdr>
        <w:top w:val="none" w:sz="0" w:space="0" w:color="auto"/>
        <w:left w:val="none" w:sz="0" w:space="0" w:color="auto"/>
        <w:bottom w:val="none" w:sz="0" w:space="0" w:color="auto"/>
        <w:right w:val="none" w:sz="0" w:space="0" w:color="auto"/>
      </w:divBdr>
    </w:div>
    <w:div w:id="1050229881">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13935551">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130125093">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70895927">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82944680">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7367087">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61848100">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488132511">
      <w:bodyDiv w:val="1"/>
      <w:marLeft w:val="0"/>
      <w:marRight w:val="0"/>
      <w:marTop w:val="0"/>
      <w:marBottom w:val="0"/>
      <w:divBdr>
        <w:top w:val="none" w:sz="0" w:space="0" w:color="auto"/>
        <w:left w:val="none" w:sz="0" w:space="0" w:color="auto"/>
        <w:bottom w:val="none" w:sz="0" w:space="0" w:color="auto"/>
        <w:right w:val="none" w:sz="0" w:space="0" w:color="auto"/>
      </w:divBdr>
    </w:div>
    <w:div w:id="1589579723">
      <w:bodyDiv w:val="1"/>
      <w:marLeft w:val="0"/>
      <w:marRight w:val="0"/>
      <w:marTop w:val="0"/>
      <w:marBottom w:val="0"/>
      <w:divBdr>
        <w:top w:val="none" w:sz="0" w:space="0" w:color="auto"/>
        <w:left w:val="none" w:sz="0" w:space="0" w:color="auto"/>
        <w:bottom w:val="none" w:sz="0" w:space="0" w:color="auto"/>
        <w:right w:val="none" w:sz="0" w:space="0" w:color="auto"/>
      </w:divBdr>
    </w:div>
    <w:div w:id="1604143615">
      <w:bodyDiv w:val="1"/>
      <w:marLeft w:val="0"/>
      <w:marRight w:val="0"/>
      <w:marTop w:val="0"/>
      <w:marBottom w:val="0"/>
      <w:divBdr>
        <w:top w:val="none" w:sz="0" w:space="0" w:color="auto"/>
        <w:left w:val="none" w:sz="0" w:space="0" w:color="auto"/>
        <w:bottom w:val="none" w:sz="0" w:space="0" w:color="auto"/>
        <w:right w:val="none" w:sz="0" w:space="0" w:color="auto"/>
      </w:divBdr>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52924040">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79597578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16947367">
      <w:bodyDiv w:val="1"/>
      <w:marLeft w:val="0"/>
      <w:marRight w:val="0"/>
      <w:marTop w:val="0"/>
      <w:marBottom w:val="0"/>
      <w:divBdr>
        <w:top w:val="none" w:sz="0" w:space="0" w:color="auto"/>
        <w:left w:val="none" w:sz="0" w:space="0" w:color="auto"/>
        <w:bottom w:val="none" w:sz="0" w:space="0" w:color="auto"/>
        <w:right w:val="none" w:sz="0" w:space="0" w:color="auto"/>
      </w:divBdr>
    </w:div>
    <w:div w:id="1851799088">
      <w:bodyDiv w:val="1"/>
      <w:marLeft w:val="0"/>
      <w:marRight w:val="0"/>
      <w:marTop w:val="0"/>
      <w:marBottom w:val="0"/>
      <w:divBdr>
        <w:top w:val="none" w:sz="0" w:space="0" w:color="auto"/>
        <w:left w:val="none" w:sz="0" w:space="0" w:color="auto"/>
        <w:bottom w:val="none" w:sz="0" w:space="0" w:color="auto"/>
        <w:right w:val="none" w:sz="0" w:space="0" w:color="auto"/>
      </w:divBdr>
    </w:div>
    <w:div w:id="1858537403">
      <w:bodyDiv w:val="1"/>
      <w:marLeft w:val="0"/>
      <w:marRight w:val="0"/>
      <w:marTop w:val="0"/>
      <w:marBottom w:val="0"/>
      <w:divBdr>
        <w:top w:val="none" w:sz="0" w:space="0" w:color="auto"/>
        <w:left w:val="none" w:sz="0" w:space="0" w:color="auto"/>
        <w:bottom w:val="none" w:sz="0" w:space="0" w:color="auto"/>
        <w:right w:val="none" w:sz="0" w:space="0" w:color="auto"/>
      </w:divBdr>
    </w:div>
    <w:div w:id="1865363358">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07496912">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1936746578">
      <w:bodyDiv w:val="1"/>
      <w:marLeft w:val="0"/>
      <w:marRight w:val="0"/>
      <w:marTop w:val="0"/>
      <w:marBottom w:val="0"/>
      <w:divBdr>
        <w:top w:val="none" w:sz="0" w:space="0" w:color="auto"/>
        <w:left w:val="none" w:sz="0" w:space="0" w:color="auto"/>
        <w:bottom w:val="none" w:sz="0" w:space="0" w:color="auto"/>
        <w:right w:val="none" w:sz="0" w:space="0" w:color="auto"/>
      </w:divBdr>
    </w:div>
    <w:div w:id="199768562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 w:id="2088960587">
      <w:bodyDiv w:val="1"/>
      <w:marLeft w:val="0"/>
      <w:marRight w:val="0"/>
      <w:marTop w:val="0"/>
      <w:marBottom w:val="0"/>
      <w:divBdr>
        <w:top w:val="none" w:sz="0" w:space="0" w:color="auto"/>
        <w:left w:val="none" w:sz="0" w:space="0" w:color="auto"/>
        <w:bottom w:val="none" w:sz="0" w:space="0" w:color="auto"/>
        <w:right w:val="none" w:sz="0" w:space="0" w:color="auto"/>
      </w:divBdr>
    </w:div>
    <w:div w:id="210884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2217</Words>
  <Characters>12641</Characters>
  <Application>Microsoft Office Word</Application>
  <DocSecurity>0</DocSecurity>
  <Lines>105</Lines>
  <Paragraphs>29</Paragraphs>
  <ScaleCrop>false</ScaleCrop>
  <Company/>
  <LinksUpToDate>false</LinksUpToDate>
  <CharactersWithSpaces>14829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2021-12-21T07:42:00Z</dcterms:created>
  <dcterms:modified xsi:type="dcterms:W3CDTF">2021-12-21T07:42:00Z</dcterms:modified>
</cp:coreProperties>
</file>