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СТРИЙСЬКОГО РАЙОНУ ЛЬВІВСЬКОЇ ОБЛАСТІ      </w:t>
      </w:r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 І Ш Е Н Н Я</w:t>
      </w:r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XLVIII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сесія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демократичного скликання</w:t>
      </w:r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B1" w:rsidRDefault="009A7CB1" w:rsidP="009A7CB1">
      <w:pPr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A7CB1" w:rsidRDefault="009A7CB1" w:rsidP="009A7CB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06.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2024   р.                        м. Новий Розділ                                № 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1887</w:t>
      </w:r>
    </w:p>
    <w:p w:rsidR="00CE345C" w:rsidRDefault="00CE345C" w:rsidP="009A7CB1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CE345C" w:rsidRPr="00CE345C" w:rsidRDefault="00CE345C" w:rsidP="00CE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5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</w:p>
    <w:p w:rsidR="00CE345C" w:rsidRPr="00CE345C" w:rsidRDefault="00CE345C" w:rsidP="00CE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5C">
        <w:rPr>
          <w:rFonts w:ascii="Times New Roman" w:hAnsi="Times New Roman" w:cs="Times New Roman"/>
          <w:sz w:val="28"/>
          <w:szCs w:val="28"/>
        </w:rPr>
        <w:t xml:space="preserve">від 24.06.2021 р. №514 </w:t>
      </w:r>
    </w:p>
    <w:p w:rsidR="00CE345C" w:rsidRPr="00CE345C" w:rsidRDefault="00CE345C" w:rsidP="00CE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5C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CE345C" w:rsidRPr="00CE345C" w:rsidRDefault="00CE345C" w:rsidP="00CE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45C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місцеві податки і збори» </w:t>
      </w:r>
    </w:p>
    <w:p w:rsidR="00CE345C" w:rsidRPr="00CE345C" w:rsidRDefault="00CE345C" w:rsidP="00CE34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5C" w:rsidRPr="006E5E3F" w:rsidRDefault="00CE345C" w:rsidP="00CE34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45C">
        <w:rPr>
          <w:rFonts w:ascii="Times New Roman" w:hAnsi="Times New Roman" w:cs="Times New Roman"/>
          <w:sz w:val="28"/>
          <w:szCs w:val="28"/>
        </w:rPr>
        <w:tab/>
        <w:t xml:space="preserve">З метою приведення назв об’єктів оподаткування у відповідність до національного класифікатора НК 018:2023 </w:t>
      </w:r>
      <w:proofErr w:type="spellStart"/>
      <w:r w:rsidRPr="00CE345C">
        <w:rPr>
          <w:rFonts w:ascii="Times New Roman" w:hAnsi="Times New Roman" w:cs="Times New Roman"/>
          <w:sz w:val="28"/>
          <w:szCs w:val="28"/>
        </w:rPr>
        <w:t>“Класифікатор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будівель і </w:t>
      </w:r>
      <w:proofErr w:type="spellStart"/>
      <w:r w:rsidRPr="00CE345C">
        <w:rPr>
          <w:rFonts w:ascii="Times New Roman" w:hAnsi="Times New Roman" w:cs="Times New Roman"/>
          <w:sz w:val="28"/>
          <w:szCs w:val="28"/>
        </w:rPr>
        <w:t>споруд”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затвердженого наказом Міністерства економіки України від 16.05.2023 №3573 </w:t>
      </w:r>
      <w:proofErr w:type="spellStart"/>
      <w:r w:rsidRPr="00CE345C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затвердження національного класифікатора НК 018:2023 та скасування національного класифікатора </w:t>
      </w:r>
      <w:proofErr w:type="spellStart"/>
      <w:r w:rsidRPr="00CE345C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018-2000”, відповідно до пункту 19 частини 1 статті 64 Бюджетного кодексу України, пункту 24 ч.1 статті 26 та статті 69 Закону України ,,Про місцеве самоврядування в Україні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XLVIII</w:t>
      </w:r>
      <w:r w:rsidRPr="00CE345C">
        <w:rPr>
          <w:rFonts w:ascii="Times New Roman" w:hAnsi="Times New Roman" w:cs="Times New Roman"/>
          <w:sz w:val="28"/>
          <w:szCs w:val="28"/>
        </w:rPr>
        <w:t xml:space="preserve"> сесія VШ демократичного скликання </w:t>
      </w:r>
      <w:proofErr w:type="spellStart"/>
      <w:r w:rsidRPr="00CE345C">
        <w:rPr>
          <w:rFonts w:ascii="Times New Roman" w:hAnsi="Times New Roman" w:cs="Times New Roman"/>
          <w:sz w:val="28"/>
          <w:szCs w:val="28"/>
        </w:rPr>
        <w:t>Новороздільської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CE345C" w:rsidRPr="006E5E3F" w:rsidRDefault="00CE345C" w:rsidP="00CE345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45C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CE345C" w:rsidRPr="00CE345C" w:rsidRDefault="00CE345C" w:rsidP="00CE345C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45C">
        <w:rPr>
          <w:rFonts w:ascii="Times New Roman" w:hAnsi="Times New Roman" w:cs="Times New Roman"/>
          <w:sz w:val="28"/>
          <w:szCs w:val="28"/>
        </w:rPr>
        <w:tab/>
        <w:t xml:space="preserve">1. Внести зміни до рішення від 24.06.2021 р. №514 </w:t>
      </w:r>
      <w:r w:rsidRPr="00CE345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E345C">
        <w:rPr>
          <w:rFonts w:ascii="Times New Roman" w:hAnsi="Times New Roman" w:cs="Times New Roman"/>
          <w:sz w:val="28"/>
          <w:szCs w:val="28"/>
        </w:rPr>
        <w:t xml:space="preserve">Про місцеві податки і збори», а саме, додаток 1.1 і додаток 1.2 рішення викласти в новій редакції (додаток 1, додаток 2 до рішення). </w:t>
      </w:r>
    </w:p>
    <w:p w:rsidR="00CE345C" w:rsidRPr="00CE345C" w:rsidRDefault="00CE345C" w:rsidP="00CE34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45C">
        <w:rPr>
          <w:rFonts w:ascii="Times New Roman" w:hAnsi="Times New Roman" w:cs="Times New Roman"/>
          <w:sz w:val="28"/>
          <w:szCs w:val="28"/>
        </w:rPr>
        <w:t xml:space="preserve">  2. Вважати додаток 1.1 і додаток 1.2 до рішення від 24.06.2021 р. №514 такими, що втратили чинність.</w:t>
      </w:r>
    </w:p>
    <w:p w:rsidR="00CE345C" w:rsidRPr="00CE345C" w:rsidRDefault="00CE345C" w:rsidP="00CE345C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45C">
        <w:rPr>
          <w:rFonts w:ascii="Times New Roman" w:hAnsi="Times New Roman" w:cs="Times New Roman"/>
          <w:sz w:val="28"/>
          <w:szCs w:val="28"/>
        </w:rPr>
        <w:t xml:space="preserve">    3. </w:t>
      </w:r>
      <w:r w:rsidRPr="00CE345C">
        <w:rPr>
          <w:rFonts w:ascii="Times New Roman" w:hAnsi="Times New Roman" w:cs="Times New Roman"/>
          <w:bCs/>
          <w:sz w:val="28"/>
          <w:szCs w:val="28"/>
        </w:rPr>
        <w:t>Забезпечити оприлюднення цього рішення</w:t>
      </w:r>
      <w:r w:rsidRPr="00CE345C">
        <w:rPr>
          <w:rFonts w:ascii="Times New Roman" w:hAnsi="Times New Roman" w:cs="Times New Roman"/>
          <w:sz w:val="28"/>
          <w:szCs w:val="28"/>
        </w:rPr>
        <w:t xml:space="preserve"> </w:t>
      </w:r>
      <w:r w:rsidRPr="00CE345C">
        <w:rPr>
          <w:rFonts w:ascii="Times New Roman" w:hAnsi="Times New Roman" w:cs="Times New Roman"/>
          <w:bCs/>
          <w:sz w:val="28"/>
          <w:szCs w:val="28"/>
        </w:rPr>
        <w:t xml:space="preserve">на офіційному </w:t>
      </w:r>
      <w:proofErr w:type="spellStart"/>
      <w:r w:rsidRPr="00CE345C">
        <w:rPr>
          <w:rFonts w:ascii="Times New Roman" w:hAnsi="Times New Roman" w:cs="Times New Roman"/>
          <w:bCs/>
          <w:sz w:val="28"/>
          <w:szCs w:val="28"/>
        </w:rPr>
        <w:t>веб-сайті</w:t>
      </w:r>
      <w:proofErr w:type="spellEnd"/>
      <w:r w:rsidRPr="00CE3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345C">
        <w:rPr>
          <w:rFonts w:ascii="Times New Roman" w:hAnsi="Times New Roman" w:cs="Times New Roman"/>
          <w:bCs/>
          <w:sz w:val="28"/>
          <w:szCs w:val="28"/>
        </w:rPr>
        <w:t>Новороздільської</w:t>
      </w:r>
      <w:proofErr w:type="spellEnd"/>
      <w:r w:rsidRPr="00CE345C">
        <w:rPr>
          <w:rFonts w:ascii="Times New Roman" w:hAnsi="Times New Roman" w:cs="Times New Roman"/>
          <w:bCs/>
          <w:sz w:val="28"/>
          <w:szCs w:val="28"/>
        </w:rPr>
        <w:t xml:space="preserve"> міської  ради.</w:t>
      </w:r>
    </w:p>
    <w:p w:rsidR="00CE345C" w:rsidRPr="00CE345C" w:rsidRDefault="00CE345C" w:rsidP="00CE345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345C">
        <w:rPr>
          <w:rFonts w:ascii="Times New Roman" w:hAnsi="Times New Roman" w:cs="Times New Roman"/>
          <w:sz w:val="28"/>
          <w:szCs w:val="28"/>
        </w:rPr>
        <w:t xml:space="preserve">    4. Дане рішення набирає чинності з моменту його опублікування та застосовується з 01.01.2025 року.</w:t>
      </w:r>
    </w:p>
    <w:p w:rsidR="00CE345C" w:rsidRPr="00CE345C" w:rsidRDefault="00CE345C" w:rsidP="00CE345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E345C">
        <w:rPr>
          <w:rFonts w:ascii="Times New Roman" w:hAnsi="Times New Roman" w:cs="Times New Roman"/>
          <w:sz w:val="28"/>
          <w:szCs w:val="28"/>
        </w:rPr>
        <w:tab/>
        <w:t xml:space="preserve">5. Контроль за виконанням рішення покласти на постійну комісію з питань бюджету та регуляторної політики (голова комісії </w:t>
      </w:r>
      <w:proofErr w:type="spellStart"/>
      <w:r w:rsidRPr="00CE345C">
        <w:rPr>
          <w:rFonts w:ascii="Times New Roman" w:hAnsi="Times New Roman" w:cs="Times New Roman"/>
          <w:sz w:val="28"/>
          <w:szCs w:val="28"/>
        </w:rPr>
        <w:t>–Волчанський</w:t>
      </w:r>
      <w:proofErr w:type="spellEnd"/>
      <w:r w:rsidRPr="00CE345C">
        <w:rPr>
          <w:rFonts w:ascii="Times New Roman" w:hAnsi="Times New Roman" w:cs="Times New Roman"/>
          <w:sz w:val="28"/>
          <w:szCs w:val="28"/>
        </w:rPr>
        <w:t xml:space="preserve"> В.М.).</w:t>
      </w:r>
    </w:p>
    <w:p w:rsidR="00CE345C" w:rsidRPr="00CE345C" w:rsidRDefault="00CE345C" w:rsidP="00CE345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E345C" w:rsidRPr="00CE345C" w:rsidRDefault="00CE345C" w:rsidP="00CE345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E345C" w:rsidRPr="00CE345C" w:rsidRDefault="00CE345C" w:rsidP="00CE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E345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Ярина ЯЦЕНКО</w:t>
      </w:r>
    </w:p>
    <w:p w:rsidR="00CE345C" w:rsidRPr="006E5E3F" w:rsidRDefault="00CE345C" w:rsidP="00CE345C">
      <w:pPr>
        <w:pStyle w:val="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594"/>
        <w:gridCol w:w="5261"/>
      </w:tblGrid>
      <w:tr w:rsidR="00CE345C" w:rsidRPr="006E5E3F" w:rsidTr="002734A2">
        <w:trPr>
          <w:trHeight w:val="1079"/>
        </w:trPr>
        <w:tc>
          <w:tcPr>
            <w:tcW w:w="4785" w:type="dxa"/>
          </w:tcPr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Додаток 1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Ш сесії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Ш демократичного скликання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.06.2024 року № 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1887</w:t>
            </w:r>
          </w:p>
        </w:tc>
      </w:tr>
    </w:tbl>
    <w:p w:rsidR="00CE345C" w:rsidRPr="006E5E3F" w:rsidRDefault="00CE345C" w:rsidP="00CE345C">
      <w:pPr>
        <w:pStyle w:val="Iniiaieeoaeno"/>
        <w:jc w:val="center"/>
        <w:rPr>
          <w:b/>
          <w:noProof/>
          <w:color w:val="000000"/>
          <w:sz w:val="24"/>
          <w:szCs w:val="24"/>
          <w:lang w:val="ru-RU"/>
        </w:rPr>
      </w:pPr>
    </w:p>
    <w:p w:rsidR="00CE345C" w:rsidRPr="006E5E3F" w:rsidRDefault="00CE345C" w:rsidP="00CE345C">
      <w:pPr>
        <w:pStyle w:val="Iniiaieeoaeno"/>
        <w:jc w:val="center"/>
        <w:rPr>
          <w:b/>
          <w:noProof/>
          <w:color w:val="000000"/>
          <w:sz w:val="24"/>
          <w:szCs w:val="24"/>
          <w:lang w:val="ru-RU"/>
        </w:rPr>
      </w:pPr>
      <w:r w:rsidRPr="006E5E3F">
        <w:rPr>
          <w:b/>
          <w:noProof/>
          <w:color w:val="000000"/>
          <w:sz w:val="24"/>
          <w:szCs w:val="24"/>
          <w:lang w:val="ru-RU"/>
        </w:rPr>
        <w:t xml:space="preserve">СТАВКИ ПОДАТКУ НА НЕРУХОМЕ МАЙНО, </w:t>
      </w:r>
    </w:p>
    <w:p w:rsidR="00CE345C" w:rsidRPr="006E5E3F" w:rsidRDefault="00CE345C" w:rsidP="00CE345C">
      <w:pPr>
        <w:pStyle w:val="Iniiaieeoaeno"/>
        <w:jc w:val="center"/>
        <w:rPr>
          <w:b/>
          <w:noProof/>
          <w:sz w:val="24"/>
          <w:szCs w:val="24"/>
          <w:vertAlign w:val="superscript"/>
        </w:rPr>
      </w:pPr>
      <w:r w:rsidRPr="006E5E3F">
        <w:rPr>
          <w:b/>
          <w:noProof/>
          <w:color w:val="000000"/>
          <w:sz w:val="24"/>
          <w:szCs w:val="24"/>
          <w:lang w:val="ru-RU"/>
        </w:rPr>
        <w:t>ВІДМІННЕ ВІД ЗЕМЕЛЬНОЇ ДІЛЯНКИ</w:t>
      </w:r>
      <w:r w:rsidRPr="006E5E3F">
        <w:rPr>
          <w:b/>
          <w:noProof/>
          <w:sz w:val="24"/>
          <w:szCs w:val="24"/>
          <w:vertAlign w:val="superscript"/>
        </w:rPr>
        <w:t>1</w:t>
      </w:r>
    </w:p>
    <w:p w:rsidR="00CE345C" w:rsidRPr="006E5E3F" w:rsidRDefault="00CE345C" w:rsidP="00CE345C">
      <w:pPr>
        <w:pStyle w:val="Iniiaieeoaeno"/>
        <w:jc w:val="center"/>
        <w:rPr>
          <w:noProof/>
          <w:color w:val="000000"/>
          <w:sz w:val="24"/>
          <w:szCs w:val="24"/>
          <w:lang w:val="ru-RU"/>
        </w:rPr>
      </w:pPr>
    </w:p>
    <w:p w:rsidR="00CE345C" w:rsidRPr="006E5E3F" w:rsidRDefault="00CE345C" w:rsidP="00CE345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E3F">
        <w:rPr>
          <w:rFonts w:ascii="Times New Roman" w:hAnsi="Times New Roman" w:cs="Times New Roman"/>
          <w:noProof/>
          <w:sz w:val="24"/>
          <w:szCs w:val="24"/>
        </w:rPr>
        <w:t>Ставки вводяться в дію з 01 січня 2025 року.</w:t>
      </w:r>
    </w:p>
    <w:p w:rsidR="00CE345C" w:rsidRPr="006E5E3F" w:rsidRDefault="00CE345C" w:rsidP="00CE345C">
      <w:pPr>
        <w:pStyle w:val="Iniiaieeoaeno"/>
        <w:rPr>
          <w:noProof/>
          <w:color w:val="000000"/>
          <w:sz w:val="24"/>
          <w:szCs w:val="24"/>
          <w:lang w:val="ru-RU"/>
        </w:rPr>
      </w:pPr>
      <w:r w:rsidRPr="006E5E3F">
        <w:rPr>
          <w:noProof/>
          <w:color w:val="000000"/>
          <w:sz w:val="24"/>
          <w:szCs w:val="24"/>
          <w:lang w:val="ru-RU"/>
        </w:rPr>
        <w:t>Адміністративно-територіальні одиниці або населені пункти, або території об'єднаних територіальних громад, на які поширюється дія рішення ради: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340"/>
        <w:gridCol w:w="2232"/>
        <w:gridCol w:w="4194"/>
      </w:tblGrid>
      <w:tr w:rsidR="00CE345C" w:rsidRPr="006E5E3F" w:rsidTr="002734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Код згідно з КОАТУУ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pStyle w:val="a5"/>
              <w:ind w:firstLine="70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Найменування адміністративно-територіальної  одиниці або населеного пункту, або території об’єднаної територіальної громади</w:t>
            </w:r>
          </w:p>
        </w:tc>
      </w:tr>
      <w:tr w:rsidR="00CE345C" w:rsidRPr="006E5E3F" w:rsidTr="002734A2">
        <w:trPr>
          <w:trHeight w:val="122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UA46000000000026241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UA46100000000023056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UA46100150000087495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Новороздільська міська територіальна громада:м.Новий Розділ, селище Розділ, с. Берездівці, с.Гранки-Кути, с. Березина, с. Горішнє, с.Долішнє, с. Станівці, с. Підгірці, с. Тужанівці</w:t>
            </w:r>
          </w:p>
        </w:tc>
      </w:tr>
    </w:tbl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46" w:type="pct"/>
        <w:tblInd w:w="-821" w:type="dxa"/>
        <w:tblCellMar>
          <w:left w:w="0" w:type="dxa"/>
          <w:right w:w="0" w:type="dxa"/>
        </w:tblCellMar>
        <w:tblLook w:val="04A0"/>
      </w:tblPr>
      <w:tblGrid>
        <w:gridCol w:w="752"/>
        <w:gridCol w:w="5237"/>
        <w:gridCol w:w="705"/>
        <w:gridCol w:w="701"/>
        <w:gridCol w:w="774"/>
        <w:gridCol w:w="778"/>
        <w:gridCol w:w="701"/>
        <w:gridCol w:w="722"/>
      </w:tblGrid>
      <w:tr w:rsidR="00CE345C" w:rsidRPr="006E5E3F" w:rsidTr="002734A2">
        <w:trPr>
          <w:trHeight w:val="15"/>
          <w:tblHeader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Класифікація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будівель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та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споруд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Ставки податку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3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 за 1 кв. метр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br/>
              <w:t>(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відсотків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розміру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мінімальної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заробітної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плати)</w:t>
            </w:r>
          </w:p>
        </w:tc>
      </w:tr>
      <w:tr w:rsidR="00CE345C" w:rsidRPr="006E5E3F" w:rsidTr="002734A2">
        <w:trPr>
          <w:trHeight w:val="15"/>
          <w:tblHeader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код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  <w:tc>
          <w:tcPr>
            <w:tcW w:w="5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найменування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2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для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юридичних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осіб</w:t>
            </w:r>
            <w:proofErr w:type="spellEnd"/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для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фізичних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осіб</w:t>
            </w:r>
            <w:proofErr w:type="spellEnd"/>
          </w:p>
        </w:tc>
      </w:tr>
      <w:tr w:rsidR="00CE345C" w:rsidRPr="006E5E3F" w:rsidTr="002734A2">
        <w:trPr>
          <w:trHeight w:val="15"/>
          <w:tblHeader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 зона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2 зона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3 зона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 зона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2 зона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3 зона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4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Житлові будинки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111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Одноквартирні житлові будинки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1110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Одноквартирні житлові будинки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Відокремлені житлові будинки садибного типу, дачі, будинки лісників, садові та інші літні будинки для тимчасового проживання, тощо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Зблоковані та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терасні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будинки з окремими квартирами, кожна з яких має власний дах та власний вхід з вулиці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112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Житлові будинки з двома та більше квартирами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1121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Житлові будинки з двома квартирами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Відокремлені, зблоковані та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терасні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будинки з двома квартирами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1122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Житлові будинки з трьома та більше квартирами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Інші житлові будинки з трьома та більше квартирами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113</w:t>
            </w:r>
          </w:p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1130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Житлові будинки для колективного проживання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Житлові будинки для колективного проживання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Гуртожитки для студентів та учнів навчальних 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закладів, робітників та службовців, житлові будинки для дітей-сиріт та дітей з інвалідністю, для осіб літнього віку та осіб з інвалідністю, інших соціальних груп, наприклад, будинки для біженців, притулки для бездомних тощо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Нежитлові будівлі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готельні та подібні будівлі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1211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Будівлі</w:t>
            </w:r>
            <w:proofErr w:type="spellEnd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готельні</w:t>
            </w:r>
            <w:proofErr w:type="spellEnd"/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готелів, мотелів, пансіонатів та подібних закладів з надання житла з рестораном або без нього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Відокремлені будівлі ресторанів та барів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1212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Інші будівлі для короткострокового проживання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Будівлі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хостелів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дитячих та сімейних таборів відпочинку, гірські притулки, рекреаційні будинки та інші будівлі для тимчасового проживання, не класифіковані раніше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Офісні будівлі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1220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Офісні будівлі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Будівлі, що використовуються як приміщення для конторських та адміністративних цілей, у тому числі для промислових підприємств, банків, поштових відділень, органів державної влади та місцевого самоврядування тощо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Конгрес-центри, будівлі органів правосуддя, парламентські будівлі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123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оптово-роздрібної торгівлі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1230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оптово-роздрібної торгівлі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торгових центрів, універмагів, окремих магазинів та крамниць, зали для ярмарків, аукціонів, торгових виставок, криті ринки, закладів обслуговування учасників дорожнього руху тощо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124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Буді</w:t>
            </w:r>
            <w:proofErr w:type="gram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вл</w:t>
            </w:r>
            <w:proofErr w:type="gramEnd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і</w:t>
            </w:r>
            <w:proofErr w:type="spellEnd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транспорту та </w:t>
            </w: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зв’язку</w:t>
            </w:r>
            <w:proofErr w:type="spellEnd"/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1241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електронних комунікацій, станцій, терміналів та пов'язані з ними будівлі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цивільних та військових аеропортів, залізничних станцій, автобусних станцій, морських та річкових вокзалів, фунікулерів та станцій канатних доріг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Будівлі центрів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радіо-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 телевізійного мовлення, телефонних станцій, телекомунікаційних центрів тощо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Ангари для літаків, будівлі сигнальних будок, локомотивних та вагонних депо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Телефонні будки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маяків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(вежі) управління повітряним рухом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1242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гаражів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Гаражі (наземні й підземні) та криті автомобільні стоянки, навіси для велосипедів.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0,100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125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Промислові та складські будівлі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1251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Промислові будівлі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Будівлі, що використовуються для промислового виробництва, наприклад, фабрики, майстерні, бойні, пивоварні тощо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1252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Резервуари</w:t>
            </w:r>
            <w:proofErr w:type="spellEnd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силоси</w:t>
            </w:r>
            <w:proofErr w:type="spellEnd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та</w:t>
            </w:r>
            <w:proofErr w:type="spellEnd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склади</w:t>
            </w:r>
            <w:proofErr w:type="spellEnd"/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Резервуари та ємності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Резервуари для нафти та газу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Силоси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зерна, цементу та інших сухих продуктів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Холодильники та спеціальні склади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Складські майданчики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126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громадського дозвілля, освіти, охорони здоров'я та соціального захисту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1261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громадського дозвілля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кінотеатрів, театрів, концертні зали тощо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Зали засідань та багатоцільові зали, що використовуються, головним чином, для публічних виступів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Казино, цирки, музичні зали, танцювальні зали та дискотеки, естради тощо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1262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музеїв та бібліотек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музеїв, художніх галерей, бібліотек та ресурсних центрів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Будівлі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архівів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1263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закладів освіти та дослідних закладів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закладів вищої освіти, науково-дослідних закладів, лабораторій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Будівлі, призначені для дошкільної, середньої, професійно-технічної та спеціалізованої освіти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спеціальних шкіл для дітей з фізичними або розумовими вадами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закладів для фахової перепідготовки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1264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Будівлі закладів охорони здоров’я та соціального захисту населення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закладів з надання медичної допомоги хворим та травмованим пацієнтам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Санаторії, лікарні тривалого перебування і будинки з медичним доглядом для людей похилого віку та осіб з інвалідністю, психіатричні лікарні, диспансери, пологові будинки, реабілітаційні центри матері та дитини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лікарень навчальних закладів, виправних закладів, в'язниць та збройних сил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Будівлі, що використовуються для термального та соляного лікування, функціональної реабілітації, пунктів переливання крові, пунктів донорського грудного молока, ветеринарних лікарень тощо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Будинки закладів, що надають комбіновані послуги проживання та догляду або медичного обслуговування для людей похилого віку, для людей з обмеженими можливостями тощо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1265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Спортивні зали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Будівлі, що використовуються в спортивних цілях (баскетбольні і тенісні зали, плавальні басейни, гімнастичні зали, ковзанки або хокейні арени тощо), що передбачають обладнання для глядачів та учасників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127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Інші нежитлові будівлі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1271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Нежитлові сільськогосподарські будівлі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Будівлі, призначені для сільськогосподарської діяльності, наприклад, корівники, стайні, свинарники, кошари, конюшні, розплідники, промислові курники, зерносховища, ангари та фермерські господарські будівлі, погреби, виноробні заводи, винні чани, теплиці, сільськогосподарські </w:t>
            </w: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силоси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тощо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1272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Меморіальні та культові будівлі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Церкви, каплиці, мечеті, синагоги тощо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Цвинтарі та похоронні споруди, ритуальні зали, крематорії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1273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Пам'ятники історичні та ті, що охороняються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Будівлі історичні та такі, що охороняються державою і не використовуються для інших цілей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Старовинні руїни, що охороняються державою, археологічні розкопки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0,000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before="10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Статуї та меморіальні, художні і декоративні споруди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1274</w:t>
            </w:r>
          </w:p>
        </w:tc>
        <w:tc>
          <w:tcPr>
            <w:tcW w:w="10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Інші будівлі, не класифіковані раніше</w:t>
            </w:r>
            <w:r w:rsidRPr="006E5E3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5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Будівлі виправних закладів, в’язниць, слідчих ізоляторів, казарми збройних сил, міліцейських та 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пожежних служб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</w:tr>
      <w:tr w:rsidR="00CE345C" w:rsidRPr="006E5E3F" w:rsidTr="002734A2">
        <w:trPr>
          <w:trHeight w:val="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Зупинки громадського транспорту, громадські туалети, пральні, лазні тощо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345C" w:rsidRPr="006E5E3F" w:rsidRDefault="00CE345C" w:rsidP="00CE34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</w:tbl>
    <w:p w:rsidR="00CE345C" w:rsidRPr="006E5E3F" w:rsidRDefault="00CE345C" w:rsidP="00CE345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E5E3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ru-RU"/>
        </w:rPr>
        <w:t>__________</w:t>
      </w:r>
    </w:p>
    <w:p w:rsidR="00CE345C" w:rsidRPr="006E5E3F" w:rsidRDefault="00CE345C" w:rsidP="00CE345C">
      <w:pPr>
        <w:pStyle w:val="Iniiaieeoaeno"/>
        <w:rPr>
          <w:noProof/>
          <w:color w:val="000000"/>
          <w:sz w:val="24"/>
          <w:szCs w:val="24"/>
          <w:lang w:val="ru-RU"/>
        </w:rPr>
      </w:pPr>
      <w:r w:rsidRPr="006E5E3F">
        <w:rPr>
          <w:color w:val="333333"/>
          <w:sz w:val="24"/>
          <w:szCs w:val="24"/>
          <w:bdr w:val="none" w:sz="0" w:space="0" w:color="auto" w:frame="1"/>
          <w:vertAlign w:val="superscript"/>
          <w:lang w:val="ru-RU"/>
        </w:rPr>
        <w:t>1</w:t>
      </w:r>
      <w:r w:rsidRPr="006E5E3F">
        <w:rPr>
          <w:color w:val="333333"/>
          <w:sz w:val="24"/>
          <w:szCs w:val="24"/>
          <w:bdr w:val="none" w:sz="0" w:space="0" w:color="auto" w:frame="1"/>
          <w:lang w:val="ru-RU"/>
        </w:rPr>
        <w:t> </w:t>
      </w:r>
      <w:r w:rsidRPr="006E5E3F">
        <w:rPr>
          <w:noProof/>
          <w:color w:val="000000"/>
          <w:sz w:val="24"/>
          <w:szCs w:val="24"/>
          <w:lang w:val="ru-RU"/>
        </w:rPr>
        <w:t>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CE345C" w:rsidRPr="006E5E3F" w:rsidRDefault="00CE345C" w:rsidP="00CE345C">
      <w:pPr>
        <w:pStyle w:val="Iniiaieeoaeno"/>
        <w:rPr>
          <w:noProof/>
          <w:color w:val="000000"/>
          <w:sz w:val="24"/>
          <w:szCs w:val="24"/>
          <w:lang w:val="ru-RU"/>
        </w:rPr>
      </w:pPr>
      <w:r w:rsidRPr="006E5E3F">
        <w:rPr>
          <w:noProof/>
          <w:color w:val="000000"/>
          <w:sz w:val="24"/>
          <w:szCs w:val="24"/>
          <w:lang w:val="ru-RU"/>
        </w:rPr>
        <w:t>2 Класифікація будівель та споруд, код та найменування зазначаються відповідно до Національного класифікатора будівель та споруд ДК 018-2023, затвердженого наказом Міністества економіки України від 16.05.2023 року №3573.</w:t>
      </w:r>
    </w:p>
    <w:p w:rsidR="00CE345C" w:rsidRPr="006E5E3F" w:rsidRDefault="00CE345C" w:rsidP="00CE345C">
      <w:pPr>
        <w:pStyle w:val="Iniiaieeoaeno"/>
        <w:rPr>
          <w:noProof/>
          <w:color w:val="000000"/>
          <w:sz w:val="24"/>
          <w:szCs w:val="24"/>
          <w:lang w:val="ru-RU"/>
        </w:rPr>
      </w:pPr>
      <w:r w:rsidRPr="006E5E3F">
        <w:rPr>
          <w:noProof/>
          <w:color w:val="000000"/>
          <w:sz w:val="24"/>
          <w:szCs w:val="24"/>
          <w:lang w:val="ru-RU"/>
        </w:rPr>
        <w:t>3 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</w:t>
      </w:r>
    </w:p>
    <w:p w:rsidR="00CE345C" w:rsidRPr="006E5E3F" w:rsidRDefault="00CE345C" w:rsidP="00CE345C">
      <w:pPr>
        <w:pStyle w:val="Iniiaieeoaeno"/>
        <w:rPr>
          <w:noProof/>
          <w:color w:val="000000"/>
          <w:sz w:val="24"/>
          <w:szCs w:val="24"/>
          <w:lang w:val="ru-RU"/>
        </w:rPr>
      </w:pPr>
      <w:r w:rsidRPr="006E5E3F">
        <w:rPr>
          <w:noProof/>
          <w:color w:val="000000"/>
          <w:sz w:val="24"/>
          <w:szCs w:val="24"/>
          <w:lang w:val="ru-RU"/>
        </w:rPr>
        <w:t>4 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</w:t>
      </w:r>
    </w:p>
    <w:p w:rsidR="00CE345C" w:rsidRPr="006E5E3F" w:rsidRDefault="00CE345C" w:rsidP="00CE345C">
      <w:pPr>
        <w:pStyle w:val="Iniiaieeoaeno"/>
        <w:rPr>
          <w:noProof/>
          <w:color w:val="000000"/>
          <w:sz w:val="24"/>
          <w:szCs w:val="24"/>
          <w:lang w:val="ru-RU"/>
        </w:rPr>
      </w:pPr>
      <w:proofErr w:type="gramStart"/>
      <w:r w:rsidRPr="006E5E3F">
        <w:rPr>
          <w:noProof/>
          <w:color w:val="000000"/>
          <w:sz w:val="24"/>
          <w:szCs w:val="24"/>
          <w:lang w:val="ru-RU"/>
        </w:rPr>
        <w:t>5 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  <w:proofErr w:type="gramEnd"/>
    </w:p>
    <w:p w:rsidR="00CE345C" w:rsidRPr="006E5E3F" w:rsidRDefault="00CE345C" w:rsidP="00CE345C">
      <w:pPr>
        <w:pStyle w:val="Iniiaieeoaeno"/>
        <w:rPr>
          <w:noProof/>
          <w:color w:val="000000"/>
          <w:sz w:val="24"/>
          <w:szCs w:val="24"/>
          <w:lang w:val="ru-RU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D5FE4" w:rsidRPr="006E5E3F" w:rsidRDefault="001D5FE4" w:rsidP="00CE345C">
      <w:pPr>
        <w:spacing w:after="0" w:line="192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CE345C" w:rsidRPr="006E5E3F" w:rsidRDefault="00CE345C" w:rsidP="00CE345C">
      <w:pPr>
        <w:pStyle w:val="a5"/>
        <w:spacing w:before="0"/>
        <w:ind w:firstLine="709"/>
        <w:jc w:val="both"/>
        <w:rPr>
          <w:rFonts w:ascii="Times New Roman" w:hAnsi="Times New Roman"/>
          <w:noProof/>
          <w:color w:val="FFFFFF"/>
          <w:sz w:val="24"/>
          <w:szCs w:val="24"/>
        </w:rPr>
      </w:pPr>
      <w:r w:rsidRPr="006E5E3F">
        <w:rPr>
          <w:rFonts w:ascii="Times New Roman" w:hAnsi="Times New Roman"/>
          <w:noProof/>
          <w:color w:val="FFFFFF"/>
          <w:sz w:val="24"/>
          <w:szCs w:val="24"/>
        </w:rPr>
        <w:t>и встановлюються залежно від зони. Без урахування зони ставки зазначаються у граона".</w:t>
      </w:r>
    </w:p>
    <w:p w:rsidR="00CE345C" w:rsidRPr="006E5E3F" w:rsidRDefault="00CE345C" w:rsidP="00CE345C">
      <w:pPr>
        <w:pStyle w:val="a5"/>
        <w:spacing w:before="0"/>
        <w:ind w:firstLine="0"/>
        <w:jc w:val="both"/>
        <w:rPr>
          <w:rFonts w:ascii="Times New Roman" w:hAnsi="Times New Roman"/>
          <w:noProof/>
          <w:color w:val="FFFFFF"/>
          <w:sz w:val="24"/>
          <w:szCs w:val="24"/>
        </w:rPr>
      </w:pPr>
      <w:r w:rsidRPr="006E5E3F">
        <w:rPr>
          <w:rFonts w:ascii="Times New Roman" w:hAnsi="Times New Roman"/>
          <w:noProof/>
          <w:color w:val="FFFFFF"/>
          <w:sz w:val="24"/>
          <w:szCs w:val="24"/>
        </w:rPr>
        <w:t>міемельної  норм.</w:t>
      </w:r>
    </w:p>
    <w:tbl>
      <w:tblPr>
        <w:tblW w:w="0" w:type="auto"/>
        <w:tblLook w:val="00A0"/>
      </w:tblPr>
      <w:tblGrid>
        <w:gridCol w:w="4068"/>
        <w:gridCol w:w="5503"/>
      </w:tblGrid>
      <w:tr w:rsidR="00CE345C" w:rsidRPr="006E5E3F" w:rsidTr="002734A2">
        <w:tc>
          <w:tcPr>
            <w:tcW w:w="4068" w:type="dxa"/>
          </w:tcPr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Додаток 2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 до рішення 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Ш сесії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>Ш демократичного скликання</w:t>
            </w:r>
          </w:p>
          <w:p w:rsidR="00CE345C" w:rsidRPr="006E5E3F" w:rsidRDefault="00CE345C" w:rsidP="00CE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D5FE4" w:rsidRPr="006E5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E5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</w:t>
            </w:r>
            <w:r w:rsidRPr="006E5E3F">
              <w:rPr>
                <w:rFonts w:ascii="Times New Roman" w:hAnsi="Times New Roman" w:cs="Times New Roman"/>
                <w:sz w:val="24"/>
                <w:szCs w:val="24"/>
              </w:rPr>
              <w:t xml:space="preserve">.2024 року № </w:t>
            </w:r>
            <w:r w:rsidR="001D5FE4" w:rsidRPr="006E5E3F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</w:p>
        </w:tc>
      </w:tr>
    </w:tbl>
    <w:p w:rsidR="00CE345C" w:rsidRPr="006E5E3F" w:rsidRDefault="00CE345C" w:rsidP="00CE345C">
      <w:pPr>
        <w:pStyle w:val="3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</w:p>
    <w:p w:rsidR="00CE345C" w:rsidRPr="006E5E3F" w:rsidRDefault="00CE345C" w:rsidP="00CE345C">
      <w:pPr>
        <w:pStyle w:val="3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6E5E3F">
        <w:rPr>
          <w:rFonts w:ascii="Times New Roman" w:hAnsi="Times New Roman"/>
          <w:bCs w:val="0"/>
          <w:color w:val="auto"/>
          <w:lang w:val="uk-UA"/>
        </w:rPr>
        <w:t xml:space="preserve">ПЕРЕЛІК ПІЛЬГ </w:t>
      </w:r>
    </w:p>
    <w:p w:rsidR="00CE345C" w:rsidRPr="006E5E3F" w:rsidRDefault="00CE345C" w:rsidP="00CE345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45C" w:rsidRPr="006E5E3F" w:rsidRDefault="00CE345C" w:rsidP="00CE345C">
      <w:pPr>
        <w:pStyle w:val="3"/>
        <w:shd w:val="clear" w:color="auto" w:fill="FFFFFF"/>
        <w:spacing w:before="0"/>
        <w:jc w:val="center"/>
        <w:rPr>
          <w:rStyle w:val="apple-converted-space"/>
          <w:rFonts w:ascii="Times New Roman" w:hAnsi="Times New Roman"/>
          <w:bCs w:val="0"/>
          <w:color w:val="auto"/>
        </w:rPr>
      </w:pPr>
      <w:r w:rsidRPr="006E5E3F">
        <w:rPr>
          <w:rFonts w:ascii="Times New Roman" w:hAnsi="Times New Roman"/>
          <w:bCs w:val="0"/>
          <w:color w:val="auto"/>
          <w:lang w:val="uk-UA"/>
        </w:rPr>
        <w:t>для фізичних та юридичних осіб, наданих відповідно до</w:t>
      </w:r>
      <w:r w:rsidRPr="006E5E3F">
        <w:rPr>
          <w:rStyle w:val="apple-converted-space"/>
          <w:rFonts w:ascii="Times New Roman" w:hAnsi="Times New Roman"/>
          <w:bCs w:val="0"/>
          <w:color w:val="auto"/>
        </w:rPr>
        <w:t> </w:t>
      </w:r>
    </w:p>
    <w:p w:rsidR="00CE345C" w:rsidRPr="006E5E3F" w:rsidRDefault="00B74378" w:rsidP="00CE345C">
      <w:pPr>
        <w:pStyle w:val="3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hyperlink r:id="rId5" w:tgtFrame="_top" w:history="1">
        <w:r w:rsidR="00CE345C" w:rsidRPr="006E5E3F">
          <w:rPr>
            <w:rStyle w:val="a7"/>
            <w:rFonts w:ascii="Times New Roman" w:hAnsi="Times New Roman"/>
            <w:bCs w:val="0"/>
            <w:color w:val="auto"/>
            <w:lang w:val="uk-UA"/>
          </w:rPr>
          <w:t>підпункту 266.4.2 пункту 266.4 статті 266 Податкового кодексу України</w:t>
        </w:r>
      </w:hyperlink>
      <w:r w:rsidR="00CE345C" w:rsidRPr="006E5E3F">
        <w:rPr>
          <w:rFonts w:ascii="Times New Roman" w:hAnsi="Times New Roman"/>
          <w:bCs w:val="0"/>
          <w:color w:val="auto"/>
          <w:lang w:val="uk-UA"/>
        </w:rPr>
        <w:t xml:space="preserve">, </w:t>
      </w:r>
    </w:p>
    <w:p w:rsidR="00CE345C" w:rsidRPr="006E5E3F" w:rsidRDefault="00CE345C" w:rsidP="00CE345C">
      <w:pPr>
        <w:pStyle w:val="3"/>
        <w:shd w:val="clear" w:color="auto" w:fill="FFFFFF"/>
        <w:spacing w:before="0"/>
        <w:jc w:val="center"/>
        <w:rPr>
          <w:rFonts w:ascii="Times New Roman" w:hAnsi="Times New Roman"/>
          <w:bCs w:val="0"/>
          <w:color w:val="auto"/>
          <w:lang w:val="uk-UA"/>
        </w:rPr>
      </w:pPr>
      <w:r w:rsidRPr="006E5E3F">
        <w:rPr>
          <w:rFonts w:ascii="Times New Roman" w:hAnsi="Times New Roman"/>
          <w:bCs w:val="0"/>
          <w:color w:val="auto"/>
          <w:lang w:val="uk-UA"/>
        </w:rPr>
        <w:t>із сплати податку на нерухоме майно, відмінне від земельної ділянки</w:t>
      </w:r>
      <w:r w:rsidRPr="006E5E3F">
        <w:rPr>
          <w:rFonts w:ascii="Times New Roman" w:hAnsi="Times New Roman"/>
          <w:bCs w:val="0"/>
          <w:color w:val="auto"/>
          <w:vertAlign w:val="superscript"/>
          <w:lang w:val="uk-UA"/>
        </w:rPr>
        <w:t>1</w:t>
      </w:r>
    </w:p>
    <w:p w:rsidR="00CE345C" w:rsidRPr="006E5E3F" w:rsidRDefault="00CE345C" w:rsidP="00CE345C">
      <w:pPr>
        <w:pStyle w:val="tjbmf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</w:rPr>
      </w:pPr>
      <w:r w:rsidRPr="006E5E3F">
        <w:rPr>
          <w:color w:val="2A2928"/>
        </w:rPr>
        <w:tab/>
      </w:r>
    </w:p>
    <w:p w:rsidR="00CE345C" w:rsidRPr="006E5E3F" w:rsidRDefault="00CE345C" w:rsidP="00CE345C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</w:rPr>
      </w:pPr>
      <w:r w:rsidRPr="006E5E3F">
        <w:rPr>
          <w:color w:val="2A2928"/>
        </w:rPr>
        <w:t>Пільги встановлюються та вводяться в дію з 01 січня 20</w:t>
      </w:r>
      <w:r w:rsidRPr="006E5E3F">
        <w:rPr>
          <w:color w:val="2A2928"/>
          <w:lang w:val="ru-RU"/>
        </w:rPr>
        <w:t>25</w:t>
      </w:r>
      <w:r w:rsidRPr="006E5E3F">
        <w:rPr>
          <w:color w:val="2A2928"/>
        </w:rPr>
        <w:t xml:space="preserve"> року.</w:t>
      </w:r>
    </w:p>
    <w:p w:rsidR="00CE345C" w:rsidRPr="006E5E3F" w:rsidRDefault="00CE345C" w:rsidP="00CE345C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</w:rPr>
      </w:pPr>
    </w:p>
    <w:p w:rsidR="00CE345C" w:rsidRPr="006E5E3F" w:rsidRDefault="00CE345C" w:rsidP="00CE345C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</w:rPr>
      </w:pPr>
      <w:r w:rsidRPr="006E5E3F">
        <w:rPr>
          <w:color w:val="2A2928"/>
        </w:rPr>
        <w:t>Адміністративно-територіальні одиниці або населені пункти, або території об'єднаних територіальних громад, на які поширюється дія рішення ради:</w:t>
      </w:r>
    </w:p>
    <w:tbl>
      <w:tblPr>
        <w:tblW w:w="5000" w:type="pct"/>
        <w:tblInd w:w="-10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97"/>
        <w:gridCol w:w="2397"/>
        <w:gridCol w:w="2397"/>
        <w:gridCol w:w="362"/>
        <w:gridCol w:w="2096"/>
      </w:tblGrid>
      <w:tr w:rsidR="00CE345C" w:rsidRPr="006E5E3F" w:rsidTr="002734A2"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Код області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Код району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Код згідно з КОАТУУ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CE345C" w:rsidRPr="006E5E3F" w:rsidTr="002734A2"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UA46000000000026241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UA46100000000023056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45C" w:rsidRPr="006E5E3F" w:rsidRDefault="00CE345C" w:rsidP="00CE34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UA46100150000087495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</w:pPr>
            <w:r w:rsidRPr="006E5E3F">
              <w:rPr>
                <w:noProof/>
                <w:color w:val="000000"/>
              </w:rPr>
              <w:t>Новороздільська міська територіальна громада:м.Новий Розділ, селище Розділ,      с. Берездівці, с.Гранки-Кути, с. Березина,  с. Горішнє, с.Долішнє, с. Станівці,          с. Підгірці, с. Тужанівці</w:t>
            </w:r>
          </w:p>
        </w:tc>
      </w:tr>
      <w:tr w:rsidR="00CE345C" w:rsidRPr="006E5E3F" w:rsidTr="002734A2">
        <w:trPr>
          <w:trHeight w:val="252"/>
        </w:trPr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</w:p>
        </w:tc>
      </w:tr>
      <w:tr w:rsidR="00CE345C" w:rsidRPr="006E5E3F" w:rsidTr="002734A2"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Група платників, категорія/класифікація будівель та споруд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Розмір пільги (відсотків суми податкового зобов'язання за рік)</w:t>
            </w:r>
          </w:p>
        </w:tc>
      </w:tr>
      <w:tr w:rsidR="00CE345C" w:rsidRPr="006E5E3F" w:rsidTr="002734A2">
        <w:trPr>
          <w:trHeight w:val="3119"/>
        </w:trPr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lastRenderedPageBreak/>
              <w:t>11 Житлові будинки (для фізичних осіб)²: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>а) особам з інвалідністю першої і другої групи;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>б) фізичним особам, які мають статус багатодітної сім</w:t>
            </w:r>
            <w:r w:rsidRPr="006E5E3F">
              <w:rPr>
                <w:lang w:val="ru-RU"/>
              </w:rPr>
              <w:t>’</w:t>
            </w:r>
            <w:r w:rsidRPr="006E5E3F">
              <w:t>ї;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>в) фізичним особам, які виховують дитину-інваліда;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>г) пенсіонерам (за віком);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>д) ветеранам війни та особам, на яких поширюється дія Закону України «Про статус ветеранів, гарантії їх соціального захисту»;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>е)</w:t>
            </w:r>
            <w:r w:rsidRPr="006E5E3F">
              <w:rPr>
                <w:bCs/>
              </w:rPr>
              <w:t>особам, які належать до постраждалих внаслідок аварії на Чорнобильській АЕС, віднесених до 1, 2 категорій згідно з пунктами 1 та 2 частини першої статті 14 Закону України "Про статус і соціальний захист громадян, які постраждали внаслідок Чорнобильської катастрофи.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100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100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100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50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100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  <w:r w:rsidRPr="006E5E3F">
              <w:t>100</w:t>
            </w:r>
          </w:p>
        </w:tc>
      </w:tr>
      <w:tr w:rsidR="00CE345C" w:rsidRPr="006E5E3F" w:rsidTr="002734A2"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 xml:space="preserve">1242 Будівлі </w:t>
            </w:r>
            <w:proofErr w:type="spellStart"/>
            <w:r w:rsidRPr="006E5E3F">
              <w:t>гаражів²</w:t>
            </w:r>
            <w:proofErr w:type="spellEnd"/>
            <w:r w:rsidRPr="006E5E3F">
              <w:t xml:space="preserve"> 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>а) ветеранам війни та особам, на яких поширюється дія Закону України «Про статус ветеранів, гарантії їх соціального захисту»;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  <w:rPr>
                <w:bCs/>
              </w:rPr>
            </w:pPr>
            <w:r w:rsidRPr="006E5E3F">
              <w:rPr>
                <w:bCs/>
              </w:rPr>
              <w:t>б)особам, які належать до постраждалих внаслідок аварії на Чорнобильській АЕС, віднесених до 1, 2 категорій згідно з пунктами 1 та 2 частини першої статті 14 Закону України "Про статус і соціальний захист громадян, які постраждали внаслідок Чорнобильської катастрофи;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rPr>
                <w:bCs/>
              </w:rPr>
              <w:t xml:space="preserve">в)  </w:t>
            </w:r>
            <w:r w:rsidRPr="006E5E3F">
              <w:t>пенсіонерам (за віком).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100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100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jc w:val="center"/>
            </w:pPr>
            <w:r w:rsidRPr="006E5E3F">
              <w:t>50</w:t>
            </w:r>
          </w:p>
        </w:tc>
      </w:tr>
      <w:tr w:rsidR="00CE345C" w:rsidRPr="006E5E3F" w:rsidTr="002734A2"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  <w:r w:rsidRPr="006E5E3F">
              <w:t xml:space="preserve">1271 Нежитлові сільськогосподарські будівлі – допоміжні (нежитлові) приміщення, до яких належать сараї, хліви, гаражі, літні,  кухні, майстерні, вбиральні, погреби, навіси, котельні бойлерні, трансформаторні </w:t>
            </w:r>
            <w:proofErr w:type="spellStart"/>
            <w:r w:rsidRPr="006E5E3F">
              <w:t>підстанції³</w:t>
            </w:r>
            <w:proofErr w:type="spellEnd"/>
            <w:r w:rsidRPr="006E5E3F">
              <w:t>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</w:p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  <w:r w:rsidRPr="006E5E3F">
              <w:t>100</w:t>
            </w:r>
          </w:p>
        </w:tc>
      </w:tr>
      <w:tr w:rsidR="00CE345C" w:rsidRPr="006E5E3F" w:rsidTr="002734A2">
        <w:tc>
          <w:tcPr>
            <w:tcW w:w="3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  <w:rPr>
                <w:color w:val="000000"/>
              </w:rPr>
            </w:pPr>
            <w:r w:rsidRPr="006E5E3F">
              <w:t>Об’єкти нежитлової нерухомості, що перебувають у власності комунальних підприємств, установ та організацій</w:t>
            </w:r>
            <w:r w:rsidRPr="006E5E3F">
              <w:rPr>
                <w:color w:val="000000"/>
              </w:rPr>
              <w:t>.</w:t>
            </w:r>
          </w:p>
          <w:p w:rsidR="00CE345C" w:rsidRPr="006E5E3F" w:rsidRDefault="00CE345C" w:rsidP="00CE345C">
            <w:pPr>
              <w:pStyle w:val="tc"/>
              <w:spacing w:before="0" w:beforeAutospacing="0" w:after="0" w:afterAutospacing="0"/>
              <w:ind w:left="147" w:right="157"/>
              <w:jc w:val="both"/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45C" w:rsidRPr="006E5E3F" w:rsidRDefault="00CE345C" w:rsidP="00CE345C">
            <w:pPr>
              <w:pStyle w:val="tc"/>
              <w:spacing w:before="0" w:beforeAutospacing="0" w:after="0" w:afterAutospacing="0" w:line="360" w:lineRule="atLeast"/>
              <w:jc w:val="center"/>
            </w:pPr>
            <w:r w:rsidRPr="006E5E3F">
              <w:t>100</w:t>
            </w:r>
          </w:p>
        </w:tc>
      </w:tr>
    </w:tbl>
    <w:p w:rsidR="00CE345C" w:rsidRPr="006E5E3F" w:rsidRDefault="00CE345C" w:rsidP="00CE34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p w:rsidR="00CE345C" w:rsidRPr="006E5E3F" w:rsidRDefault="00CE345C" w:rsidP="00CE34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6E5E3F">
        <w:rPr>
          <w:lang w:val="uk-UA"/>
        </w:rPr>
        <w:t>Примітки:</w:t>
      </w:r>
    </w:p>
    <w:p w:rsidR="00CE345C" w:rsidRPr="006E5E3F" w:rsidRDefault="00CE345C" w:rsidP="00CE345C">
      <w:pPr>
        <w:pStyle w:val="tjbmf"/>
        <w:shd w:val="clear" w:color="auto" w:fill="FFFFFF"/>
        <w:spacing w:before="0" w:beforeAutospacing="0" w:after="0" w:afterAutospacing="0"/>
        <w:jc w:val="both"/>
        <w:rPr>
          <w:color w:val="2A2928"/>
        </w:rPr>
      </w:pPr>
      <w:r w:rsidRPr="006E5E3F">
        <w:rPr>
          <w:color w:val="2A2928"/>
        </w:rPr>
        <w:tab/>
      </w:r>
      <w:r w:rsidRPr="006E5E3F">
        <w:rPr>
          <w:color w:val="2A2928"/>
          <w:vertAlign w:val="superscript"/>
        </w:rPr>
        <w:t>1</w:t>
      </w:r>
      <w:r w:rsidRPr="006E5E3F">
        <w:rPr>
          <w:rStyle w:val="apple-converted-space"/>
          <w:color w:val="2A2928"/>
        </w:rPr>
        <w:t> </w:t>
      </w:r>
      <w:r w:rsidRPr="006E5E3F">
        <w:rPr>
          <w:rStyle w:val="fs2"/>
          <w:color w:val="2A2928"/>
        </w:rPr>
        <w:t xml:space="preserve">Пільги визначаються з </w:t>
      </w:r>
      <w:r w:rsidRPr="006E5E3F">
        <w:rPr>
          <w:rStyle w:val="fs2"/>
        </w:rPr>
        <w:t>урахуванням норм</w:t>
      </w:r>
      <w:r w:rsidRPr="006E5E3F">
        <w:rPr>
          <w:rStyle w:val="apple-converted-space"/>
        </w:rPr>
        <w:t> </w:t>
      </w:r>
      <w:hyperlink r:id="rId6" w:tgtFrame="_top" w:history="1">
        <w:r w:rsidRPr="006E5E3F">
          <w:rPr>
            <w:rStyle w:val="fs2"/>
          </w:rPr>
          <w:t>підпункту 12.3.7 пункту 12.3 статті 12</w:t>
        </w:r>
      </w:hyperlink>
      <w:r w:rsidRPr="006E5E3F">
        <w:rPr>
          <w:rStyle w:val="fs2"/>
        </w:rPr>
        <w:t>,</w:t>
      </w:r>
      <w:r w:rsidRPr="006E5E3F">
        <w:rPr>
          <w:rStyle w:val="apple-converted-space"/>
        </w:rPr>
        <w:t> </w:t>
      </w:r>
      <w:hyperlink r:id="rId7" w:tgtFrame="_top" w:history="1">
        <w:r w:rsidRPr="006E5E3F">
          <w:rPr>
            <w:rStyle w:val="fs2"/>
          </w:rPr>
          <w:t>пункту 30.2 статті 30</w:t>
        </w:r>
      </w:hyperlink>
      <w:r w:rsidRPr="006E5E3F">
        <w:rPr>
          <w:rStyle w:val="fs2"/>
        </w:rPr>
        <w:t>,</w:t>
      </w:r>
      <w:r w:rsidRPr="006E5E3F">
        <w:rPr>
          <w:rStyle w:val="apple-converted-space"/>
        </w:rPr>
        <w:t> </w:t>
      </w:r>
      <w:hyperlink r:id="rId8" w:tgtFrame="_top" w:history="1">
        <w:r w:rsidRPr="006E5E3F">
          <w:rPr>
            <w:rStyle w:val="fs2"/>
          </w:rPr>
          <w:t>пункту 266.2 статті 266 Податкового кодексу України</w:t>
        </w:r>
      </w:hyperlink>
      <w:r w:rsidRPr="006E5E3F">
        <w:rPr>
          <w:rStyle w:val="fs2"/>
          <w:color w:val="2A2928"/>
        </w:rPr>
        <w:t>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CE345C" w:rsidRPr="006E5E3F" w:rsidRDefault="00CE345C" w:rsidP="00CE34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6E5E3F">
        <w:rPr>
          <w:vertAlign w:val="superscript"/>
          <w:lang w:val="uk-UA"/>
        </w:rPr>
        <w:t xml:space="preserve">2  </w:t>
      </w:r>
      <w:r w:rsidRPr="006E5E3F">
        <w:rPr>
          <w:lang w:val="uk-UA"/>
        </w:rPr>
        <w:t xml:space="preserve">Пільга застосовується лише для одного об’єкта житлової/нежитлової нерухомості  з рівнем доходу фізичної особи не більше 2 мінімальних прожиткових мінімумів для працездатних осіб, встановлених законом на 1 січня звітного (податкового) року. </w:t>
      </w:r>
    </w:p>
    <w:p w:rsidR="00CE345C" w:rsidRPr="006E5E3F" w:rsidRDefault="00CE345C" w:rsidP="00CE345C">
      <w:pPr>
        <w:tabs>
          <w:tab w:val="left" w:pos="966"/>
        </w:tabs>
        <w:spacing w:after="0"/>
        <w:ind w:firstLine="709"/>
        <w:jc w:val="both"/>
        <w:rPr>
          <w:sz w:val="24"/>
          <w:szCs w:val="24"/>
        </w:rPr>
      </w:pPr>
      <w:r w:rsidRPr="006E5E3F">
        <w:rPr>
          <w:rFonts w:ascii="Times New Roman" w:hAnsi="Times New Roman" w:cs="Times New Roman"/>
          <w:sz w:val="24"/>
          <w:szCs w:val="24"/>
        </w:rPr>
        <w:t>³ Пільгова ставка застосовується для оподаткування об’єктів нежитлової нерухомості – господарських (присадибних) будівель, що розміщені на територіях житлових, садових та дачних будинків, котеджів та знаходяться у власності фізичних осіб. У разі, якщо у власності фізичної особи є декілька будинків (котеджів), така пільгова ставка застосовується лише для об’єктів нежитлової нерухомості, які розміщені на одній території, що знаходяться у власності фізичної особи. Пільга застосовується у межах 120 квадратних метрів та рівнем доходу фізичної особи не більше 2 мінімальних прожиткових мінімумів для працездатних осіб, встановлених законом на 1 січня звітного (податкового) року.</w:t>
      </w: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rPr>
          <w:sz w:val="24"/>
          <w:szCs w:val="24"/>
        </w:rPr>
      </w:pPr>
    </w:p>
    <w:p w:rsidR="00CE345C" w:rsidRPr="006E5E3F" w:rsidRDefault="00CE345C" w:rsidP="00CE345C">
      <w:pPr>
        <w:pStyle w:val="2"/>
        <w:ind w:left="6237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pStyle w:val="2"/>
        <w:ind w:left="6237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rPr>
          <w:sz w:val="24"/>
          <w:szCs w:val="24"/>
          <w:lang w:eastAsia="ru-RU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pStyle w:val="2"/>
        <w:spacing w:before="0"/>
        <w:jc w:val="right"/>
        <w:rPr>
          <w:b w:val="0"/>
          <w:color w:val="auto"/>
          <w:sz w:val="24"/>
          <w:szCs w:val="24"/>
          <w:lang w:val="uk-UA"/>
        </w:rPr>
      </w:pPr>
    </w:p>
    <w:p w:rsidR="00CE345C" w:rsidRPr="006E5E3F" w:rsidRDefault="00CE345C" w:rsidP="00CE3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4219A9" w:rsidRPr="006E5E3F" w:rsidRDefault="004219A9">
      <w:pPr>
        <w:rPr>
          <w:sz w:val="24"/>
          <w:szCs w:val="24"/>
        </w:rPr>
      </w:pPr>
    </w:p>
    <w:sectPr w:rsidR="004219A9" w:rsidRPr="006E5E3F" w:rsidSect="004219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CB1"/>
    <w:rsid w:val="001D5FE4"/>
    <w:rsid w:val="002955C3"/>
    <w:rsid w:val="004219A9"/>
    <w:rsid w:val="006E5E3F"/>
    <w:rsid w:val="009A7CB1"/>
    <w:rsid w:val="00B74378"/>
    <w:rsid w:val="00BE5201"/>
    <w:rsid w:val="00CE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B1"/>
    <w:pPr>
      <w:spacing w:after="160" w:line="252" w:lineRule="auto"/>
    </w:pPr>
  </w:style>
  <w:style w:type="paragraph" w:styleId="2">
    <w:name w:val="heading 2"/>
    <w:basedOn w:val="a"/>
    <w:next w:val="a"/>
    <w:link w:val="20"/>
    <w:qFormat/>
    <w:rsid w:val="00CE345C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CE345C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E345C"/>
    <w:rPr>
      <w:rFonts w:ascii="Cambria" w:eastAsia="Calibri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CE345C"/>
    <w:rPr>
      <w:rFonts w:ascii="Cambria" w:eastAsia="Calibri" w:hAnsi="Cambria" w:cs="Times New Roman"/>
      <w:b/>
      <w:bCs/>
      <w:color w:val="4F81BD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link w:val="a6"/>
    <w:rsid w:val="00CE345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Нормальний текст Знак"/>
    <w:link w:val="a5"/>
    <w:locked/>
    <w:rsid w:val="00CE345C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CE345C"/>
  </w:style>
  <w:style w:type="character" w:styleId="a7">
    <w:name w:val="Hyperlink"/>
    <w:rsid w:val="00CE345C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CE34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Iniiaieeoaeno">
    <w:name w:val="Iniiaiee oaeno"/>
    <w:rsid w:val="00CE345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tjbmf">
    <w:name w:val="tj bmf"/>
    <w:basedOn w:val="a"/>
    <w:rsid w:val="00CE34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fs2">
    <w:name w:val="fs2"/>
    <w:rsid w:val="00CE345C"/>
    <w:rPr>
      <w:rFonts w:cs="Times New Roman"/>
    </w:rPr>
  </w:style>
  <w:style w:type="paragraph" w:customStyle="1" w:styleId="tc">
    <w:name w:val="tc"/>
    <w:basedOn w:val="a"/>
    <w:rsid w:val="00CE34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9">
    <w:name w:val="Абзац списка9"/>
    <w:basedOn w:val="a"/>
    <w:qFormat/>
    <w:rsid w:val="00CE345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_275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0_27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_2755.html" TargetMode="External"/><Relationship Id="rId5" Type="http://schemas.openxmlformats.org/officeDocument/2006/relationships/hyperlink" Target="http://search.ligazakon.ua/l_doc2.nsf/link1/T10_2755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9708</Words>
  <Characters>5534</Characters>
  <Application>Microsoft Office Word</Application>
  <DocSecurity>0</DocSecurity>
  <Lines>46</Lines>
  <Paragraphs>30</Paragraphs>
  <ScaleCrop>false</ScaleCrop>
  <Company/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2024-07-02T08:50:00Z</cp:lastPrinted>
  <dcterms:created xsi:type="dcterms:W3CDTF">2024-07-02T08:44:00Z</dcterms:created>
  <dcterms:modified xsi:type="dcterms:W3CDTF">2024-07-04T08:03:00Z</dcterms:modified>
</cp:coreProperties>
</file>