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80" w:rsidRDefault="002B0B80" w:rsidP="0045724A">
      <w:pPr>
        <w:tabs>
          <w:tab w:val="left" w:pos="4185"/>
        </w:tabs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</w:p>
    <w:p w:rsidR="002B0B80" w:rsidRDefault="002B0B80" w:rsidP="0045724A">
      <w:pPr>
        <w:tabs>
          <w:tab w:val="left" w:pos="4185"/>
        </w:tabs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Прогноз</w:t>
      </w:r>
    </w:p>
    <w:p w:rsidR="002B0B80" w:rsidRDefault="002B0B80" w:rsidP="00F634DD">
      <w:pPr>
        <w:jc w:val="center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міського бюджету Новороздільської міської територіальної громади </w:t>
      </w:r>
      <w:r>
        <w:rPr>
          <w:rFonts w:ascii="Times New Roman" w:hAnsi="Times New Roman"/>
          <w:noProof/>
          <w:szCs w:val="28"/>
        </w:rPr>
        <w:t>(найменування бюджету адміністративно-територіальної одиниці)</w:t>
      </w:r>
    </w:p>
    <w:p w:rsidR="002B0B80" w:rsidRDefault="002B0B80" w:rsidP="00F634DD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 2026-2028 роки</w:t>
      </w:r>
    </w:p>
    <w:p w:rsidR="002B0B80" w:rsidRDefault="002B0B80" w:rsidP="00F634DD">
      <w:pPr>
        <w:jc w:val="center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>(середньостроковий бюджетний період)</w:t>
      </w:r>
    </w:p>
    <w:p w:rsidR="002B0B80" w:rsidRDefault="002B0B80" w:rsidP="00F634DD">
      <w:pPr>
        <w:pStyle w:val="ad"/>
        <w:jc w:val="center"/>
        <w:rPr>
          <w:noProof/>
          <w:szCs w:val="28"/>
          <w:lang w:eastAsia="ru-RU"/>
        </w:rPr>
      </w:pPr>
      <w:r>
        <w:rPr>
          <w:bCs/>
          <w:noProof/>
          <w:sz w:val="28"/>
        </w:rPr>
        <w:t>(1356600000)</w:t>
      </w:r>
      <w:r>
        <w:rPr>
          <w:noProof/>
          <w:sz w:val="28"/>
        </w:rPr>
        <w:br/>
      </w:r>
      <w:r>
        <w:rPr>
          <w:noProof/>
          <w:szCs w:val="28"/>
          <w:lang w:eastAsia="ru-RU"/>
        </w:rPr>
        <w:t>(код бюджету)</w:t>
      </w:r>
    </w:p>
    <w:p w:rsidR="002B0B80" w:rsidRDefault="002B0B80" w:rsidP="00F634DD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B0B80" w:rsidRDefault="002B0B80" w:rsidP="00EB2A5B">
      <w:pPr>
        <w:ind w:firstLine="567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І. Загальна частина</w:t>
      </w:r>
    </w:p>
    <w:p w:rsidR="002B0B80" w:rsidRDefault="002B0B80" w:rsidP="001A77C2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B80" w:rsidRPr="009F1AC6" w:rsidRDefault="002B0B80" w:rsidP="00DC3170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03022">
        <w:rPr>
          <w:rFonts w:ascii="Times New Roman" w:hAnsi="Times New Roman" w:cs="Times New Roman"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sz w:val="28"/>
          <w:szCs w:val="28"/>
        </w:rPr>
        <w:t>міського</w:t>
      </w:r>
      <w:r w:rsidRPr="00103022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міської територіальної громади</w:t>
      </w:r>
      <w:r w:rsidRPr="00103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(далі прогноз) </w:t>
      </w:r>
      <w:r w:rsidRPr="00103022">
        <w:rPr>
          <w:rFonts w:ascii="Times New Roman" w:hAnsi="Times New Roman" w:cs="Times New Roman"/>
          <w:sz w:val="28"/>
          <w:szCs w:val="28"/>
        </w:rPr>
        <w:t xml:space="preserve">розроблено на основі положень Бюджетного </w:t>
      </w:r>
      <w:r>
        <w:rPr>
          <w:rFonts w:ascii="Times New Roman" w:hAnsi="Times New Roman" w:cs="Times New Roman"/>
          <w:sz w:val="28"/>
          <w:szCs w:val="28"/>
        </w:rPr>
        <w:t>та Податков</w:t>
      </w:r>
      <w:r w:rsidRPr="00103022">
        <w:rPr>
          <w:rFonts w:ascii="Times New Roman" w:hAnsi="Times New Roman" w:cs="Times New Roman"/>
          <w:sz w:val="28"/>
          <w:szCs w:val="28"/>
        </w:rPr>
        <w:t>ого кодекс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103022">
        <w:rPr>
          <w:rFonts w:ascii="Times New Roman" w:hAnsi="Times New Roman" w:cs="Times New Roman"/>
          <w:sz w:val="28"/>
          <w:szCs w:val="28"/>
        </w:rPr>
        <w:t xml:space="preserve"> України, </w:t>
      </w:r>
      <w:r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27.06.2025 №774 «Про схвалення Бюджетної декларації на 2026-2028 роки», із врахуванням Стратегії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 до 2027 року.</w:t>
      </w:r>
    </w:p>
    <w:p w:rsidR="002B0B80" w:rsidRDefault="002B0B80" w:rsidP="00DC31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прогнозу є забезпечення передбачуваності та послідовності бюджетної політики, визначення основних напрямів і пріоритетів на середньостроковий період, а також визначення можливостей міського бюджету у середньостроковій перспективі.</w:t>
      </w:r>
    </w:p>
    <w:p w:rsidR="002B0B80" w:rsidRPr="000E4F81" w:rsidRDefault="002B0B80" w:rsidP="00DC31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F81">
        <w:rPr>
          <w:rFonts w:ascii="Times New Roman" w:hAnsi="Times New Roman" w:cs="Times New Roman"/>
          <w:sz w:val="28"/>
          <w:szCs w:val="28"/>
        </w:rPr>
        <w:t>Основними завдання прогнозу є:</w:t>
      </w:r>
    </w:p>
    <w:p w:rsidR="002B0B80" w:rsidRDefault="002B0B80" w:rsidP="00BC5B2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прогнозних обсягів доходів і видатків міського бюджету на середньостроковий період  з урахуванням макроекономічних показників та  показників соціально-економічного розвитку громади;</w:t>
      </w:r>
    </w:p>
    <w:p w:rsidR="002B0B80" w:rsidRDefault="002B0B80" w:rsidP="00BC5B2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узгодженості бюджетної та економічної політики територіальної громади;</w:t>
      </w:r>
    </w:p>
    <w:p w:rsidR="002B0B80" w:rsidRDefault="002B0B80" w:rsidP="00BC5B2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пріорити</w:t>
      </w:r>
      <w:r w:rsidRPr="002735A6">
        <w:rPr>
          <w:rFonts w:ascii="Times New Roman" w:hAnsi="Times New Roman" w:cs="Times New Roman"/>
          <w:sz w:val="28"/>
          <w:szCs w:val="28"/>
        </w:rPr>
        <w:t>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видатків бюджету відповідно до цілей стратегії розвитку громади;</w:t>
      </w:r>
    </w:p>
    <w:p w:rsidR="002B0B80" w:rsidRDefault="002B0B80" w:rsidP="00BC5B2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прозорості та передбачуваності бюджетного процесу для органів місцевого самоврядування, громадськості та інвесторів;</w:t>
      </w:r>
    </w:p>
    <w:p w:rsidR="002B0B80" w:rsidRDefault="002B0B80" w:rsidP="005D06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середньостроковому плануванні передбачено фінансовий ресурс на досягнення цілей стратегії розвитку громади.</w:t>
      </w:r>
    </w:p>
    <w:p w:rsidR="002B0B80" w:rsidRPr="00E234E3" w:rsidRDefault="002B0B80" w:rsidP="00E234E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E234E3">
        <w:rPr>
          <w:sz w:val="28"/>
          <w:szCs w:val="28"/>
        </w:rPr>
        <w:t>Виважена бюджетна політика є основою для збереження фінансової стабільності під час воєнного стану, а також підґрунтям для післявоєнного відновлення України.</w:t>
      </w:r>
    </w:p>
    <w:p w:rsidR="002B0B80" w:rsidRDefault="002B0B80" w:rsidP="0063294E">
      <w:pPr>
        <w:spacing w:after="5" w:line="268" w:lineRule="auto"/>
        <w:ind w:left="146"/>
        <w:jc w:val="both"/>
        <w:rPr>
          <w:rFonts w:ascii="Times New Roman" w:hAnsi="Times New Roman" w:cs="Times New Roman"/>
          <w:sz w:val="28"/>
          <w:szCs w:val="28"/>
        </w:rPr>
      </w:pPr>
      <w:r w:rsidRPr="007D7314">
        <w:t xml:space="preserve">            </w:t>
      </w:r>
      <w:r w:rsidRPr="007D7314">
        <w:rPr>
          <w:rFonts w:ascii="Times New Roman" w:hAnsi="Times New Roman" w:cs="Times New Roman"/>
          <w:sz w:val="28"/>
          <w:szCs w:val="28"/>
        </w:rPr>
        <w:t xml:space="preserve">Очікувані результати прогнозу міського бюджету: визначені прогнозні показники доходів і видатків міського бюджету на середньостроковий період; досягнута узгодженість між фінансовими можливостями та пріоритетами розвитку громади; підвищено ефективність розподілу та використання бюджетних ресурсів; забезпечено фінансову стабільність та збалансованість бюджету; створено передумови для реалізації інвестиційних та </w:t>
      </w:r>
    </w:p>
    <w:p w:rsidR="002B0B80" w:rsidRDefault="002B0B80" w:rsidP="0045724A">
      <w:pPr>
        <w:spacing w:after="5" w:line="268" w:lineRule="auto"/>
        <w:ind w:left="146"/>
        <w:jc w:val="center"/>
        <w:rPr>
          <w:rFonts w:ascii="Times New Roman" w:hAnsi="Times New Roman" w:cs="Times New Roman"/>
          <w:sz w:val="28"/>
          <w:szCs w:val="28"/>
        </w:rPr>
      </w:pPr>
    </w:p>
    <w:p w:rsidR="002B0B80" w:rsidRDefault="002B0B80" w:rsidP="006C310E">
      <w:pPr>
        <w:spacing w:after="5" w:line="268" w:lineRule="auto"/>
        <w:rPr>
          <w:rFonts w:ascii="Times New Roman" w:hAnsi="Times New Roman" w:cs="Times New Roman"/>
          <w:sz w:val="28"/>
          <w:szCs w:val="28"/>
        </w:rPr>
      </w:pPr>
    </w:p>
    <w:p w:rsidR="002B0B80" w:rsidRPr="007D7314" w:rsidRDefault="002B0B80" w:rsidP="0063294E">
      <w:pPr>
        <w:spacing w:after="5" w:line="268" w:lineRule="auto"/>
        <w:ind w:left="146"/>
        <w:jc w:val="both"/>
        <w:rPr>
          <w:rFonts w:ascii="Times New Roman" w:hAnsi="Times New Roman" w:cs="Times New Roman"/>
          <w:sz w:val="28"/>
          <w:szCs w:val="28"/>
        </w:rPr>
      </w:pPr>
      <w:r w:rsidRPr="007D7314">
        <w:rPr>
          <w:rFonts w:ascii="Times New Roman" w:hAnsi="Times New Roman" w:cs="Times New Roman"/>
          <w:sz w:val="28"/>
          <w:szCs w:val="28"/>
        </w:rPr>
        <w:t>інфраструктурних  проектів; посилено довіру громадськості до фінансової політики громади.</w:t>
      </w:r>
    </w:p>
    <w:p w:rsidR="002B0B80" w:rsidRDefault="002B0B80" w:rsidP="002B0A13">
      <w:pPr>
        <w:spacing w:after="5" w:line="268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сьогодні ризики невиконання прогнозних показників міського бюджету особливо підсилені через поєднання воєнних, економічних та  соціальних чинників. </w:t>
      </w:r>
    </w:p>
    <w:p w:rsidR="002B0B80" w:rsidRPr="00BA1857" w:rsidRDefault="002B0B80" w:rsidP="00BA18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857">
        <w:rPr>
          <w:rFonts w:ascii="Times New Roman" w:hAnsi="Times New Roman" w:cs="Times New Roman"/>
          <w:sz w:val="28"/>
          <w:szCs w:val="28"/>
        </w:rPr>
        <w:t xml:space="preserve">Один із таких ризикових факторів ймовірне недосягнення запланованих темпів зростання фонду оплати праці, що може призвести до невиконання прогнозних показників за доходами, а саме податку на доходи фізичних осіб, який в структурі доходів міського бюджету займає домінуючу позицію. Як наслідок, для уникнення розбалансованості бюджету постане питання зменшення видатків розвитку громади, зокрема, капітальних видатків. </w:t>
      </w:r>
    </w:p>
    <w:p w:rsidR="002B0B80" w:rsidRPr="000E4F81" w:rsidRDefault="002B0B80" w:rsidP="002B0A13">
      <w:pPr>
        <w:ind w:left="718"/>
        <w:rPr>
          <w:rFonts w:ascii="Times New Roman" w:hAnsi="Times New Roman" w:cs="Times New Roman"/>
          <w:sz w:val="28"/>
          <w:szCs w:val="28"/>
        </w:rPr>
      </w:pPr>
      <w:r w:rsidRPr="000E4F81">
        <w:rPr>
          <w:rFonts w:ascii="Times New Roman" w:hAnsi="Times New Roman" w:cs="Times New Roman"/>
          <w:sz w:val="28"/>
          <w:szCs w:val="28"/>
        </w:rPr>
        <w:t xml:space="preserve">Показники Прогнозу можуть змінюватись внаслідок:  </w:t>
      </w:r>
    </w:p>
    <w:p w:rsidR="002B0B80" w:rsidRPr="000E4F81" w:rsidRDefault="002B0B80" w:rsidP="002B0A13">
      <w:pPr>
        <w:numPr>
          <w:ilvl w:val="0"/>
          <w:numId w:val="7"/>
        </w:numPr>
        <w:spacing w:after="5" w:line="268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E4F81">
        <w:rPr>
          <w:rFonts w:ascii="Times New Roman" w:hAnsi="Times New Roman" w:cs="Times New Roman"/>
          <w:sz w:val="28"/>
          <w:szCs w:val="28"/>
        </w:rPr>
        <w:t xml:space="preserve">підвищення фактичних цін і тарифів на енергоносії;  </w:t>
      </w:r>
    </w:p>
    <w:p w:rsidR="002B0B80" w:rsidRPr="000E4F81" w:rsidRDefault="002B0B80" w:rsidP="002B0A13">
      <w:pPr>
        <w:numPr>
          <w:ilvl w:val="0"/>
          <w:numId w:val="7"/>
        </w:numPr>
        <w:spacing w:after="5" w:line="268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E4F81">
        <w:rPr>
          <w:rFonts w:ascii="Times New Roman" w:hAnsi="Times New Roman" w:cs="Times New Roman"/>
          <w:sz w:val="28"/>
          <w:szCs w:val="28"/>
        </w:rPr>
        <w:t xml:space="preserve">фактичне перевищення рівня споживчих цін та цін виробників;  </w:t>
      </w:r>
    </w:p>
    <w:p w:rsidR="002B0B80" w:rsidRPr="000E4F81" w:rsidRDefault="002B0B80" w:rsidP="002B0A13">
      <w:pPr>
        <w:numPr>
          <w:ilvl w:val="0"/>
          <w:numId w:val="7"/>
        </w:numPr>
        <w:spacing w:after="5" w:line="268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E4F81">
        <w:rPr>
          <w:rFonts w:ascii="Times New Roman" w:hAnsi="Times New Roman" w:cs="Times New Roman"/>
          <w:sz w:val="28"/>
          <w:szCs w:val="28"/>
        </w:rPr>
        <w:t xml:space="preserve">визначення міжбюджетних трансфертів (освітня субвенція, базова дотація, додаткові дотації) в обсягах які не враховані при розрахунку прогнозу міського бюджету;  </w:t>
      </w:r>
    </w:p>
    <w:p w:rsidR="002B0B80" w:rsidRPr="000E4F81" w:rsidRDefault="002B0B80" w:rsidP="002B0A13">
      <w:pPr>
        <w:numPr>
          <w:ilvl w:val="0"/>
          <w:numId w:val="7"/>
        </w:numPr>
        <w:spacing w:after="5" w:line="268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E4F81">
        <w:rPr>
          <w:rFonts w:ascii="Times New Roman" w:hAnsi="Times New Roman" w:cs="Times New Roman"/>
          <w:sz w:val="28"/>
          <w:szCs w:val="28"/>
        </w:rPr>
        <w:t xml:space="preserve">та інші. </w:t>
      </w:r>
    </w:p>
    <w:p w:rsidR="002B0B80" w:rsidRPr="003969BA" w:rsidRDefault="002B0B80" w:rsidP="00EB2A5B">
      <w:pPr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BA">
        <w:rPr>
          <w:rFonts w:ascii="Times New Roman" w:hAnsi="Times New Roman" w:cs="Times New Roman"/>
          <w:b/>
          <w:sz w:val="28"/>
          <w:szCs w:val="28"/>
        </w:rPr>
        <w:t>ІІ. Основні прогнозні показники економічного та соціального розвитку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    </w:t>
      </w:r>
      <w:proofErr w:type="spellStart"/>
      <w:r w:rsidRPr="001619FE">
        <w:rPr>
          <w:sz w:val="28"/>
          <w:szCs w:val="28"/>
        </w:rPr>
        <w:t>Новороздільська</w:t>
      </w:r>
      <w:proofErr w:type="spellEnd"/>
      <w:r w:rsidRPr="001619FE">
        <w:rPr>
          <w:sz w:val="28"/>
          <w:szCs w:val="28"/>
        </w:rPr>
        <w:t xml:space="preserve"> територіальна громада (далі — громада) розташована в </w:t>
      </w:r>
      <w:proofErr w:type="spellStart"/>
      <w:r w:rsidRPr="001619FE">
        <w:rPr>
          <w:sz w:val="28"/>
          <w:szCs w:val="28"/>
        </w:rPr>
        <w:t>Стрийському</w:t>
      </w:r>
      <w:proofErr w:type="spellEnd"/>
      <w:r w:rsidRPr="001619FE">
        <w:rPr>
          <w:sz w:val="28"/>
          <w:szCs w:val="28"/>
        </w:rPr>
        <w:t xml:space="preserve"> районі Львівської області. Адміністративним центром громади є місто Новий Розділ.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Громаду утворено у 2020 році відповідно до розпорядження Кабінету Міністрів України від 12.06.2020 № 718-р «Про визначення адміністративних центрів та затвердження територій територіальних громад Львівської області». У межах нового адміністративно-територіального устрою України громада увійшла до складу </w:t>
      </w:r>
      <w:proofErr w:type="spellStart"/>
      <w:r w:rsidRPr="001619FE">
        <w:rPr>
          <w:sz w:val="28"/>
          <w:szCs w:val="28"/>
        </w:rPr>
        <w:t>Стрийського</w:t>
      </w:r>
      <w:proofErr w:type="spellEnd"/>
      <w:r w:rsidRPr="001619FE">
        <w:rPr>
          <w:sz w:val="28"/>
          <w:szCs w:val="28"/>
        </w:rPr>
        <w:t xml:space="preserve"> району.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До складу громади входять 10 населених пунктів:</w:t>
      </w:r>
    </w:p>
    <w:p w:rsidR="002B0B80" w:rsidRPr="001619FE" w:rsidRDefault="002B0B80" w:rsidP="001619FE">
      <w:pPr>
        <w:pStyle w:val="ad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місто Новий Розділ,</w:t>
      </w:r>
    </w:p>
    <w:p w:rsidR="002B0B80" w:rsidRPr="001619FE" w:rsidRDefault="002B0B80" w:rsidP="001619FE">
      <w:pPr>
        <w:pStyle w:val="ad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селище Розділ,</w:t>
      </w:r>
    </w:p>
    <w:p w:rsidR="002B0B80" w:rsidRPr="001619FE" w:rsidRDefault="002B0B80" w:rsidP="001619FE">
      <w:pPr>
        <w:pStyle w:val="ad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села: </w:t>
      </w:r>
      <w:proofErr w:type="spellStart"/>
      <w:r w:rsidRPr="001619FE">
        <w:rPr>
          <w:sz w:val="28"/>
          <w:szCs w:val="28"/>
        </w:rPr>
        <w:t>Берездівці</w:t>
      </w:r>
      <w:proofErr w:type="spellEnd"/>
      <w:r w:rsidRPr="001619FE">
        <w:rPr>
          <w:sz w:val="28"/>
          <w:szCs w:val="28"/>
        </w:rPr>
        <w:t xml:space="preserve">, Березина, Горішнє, Гранки-Кути, Долішнє, </w:t>
      </w:r>
      <w:proofErr w:type="spellStart"/>
      <w:r w:rsidRPr="001619FE">
        <w:rPr>
          <w:sz w:val="28"/>
          <w:szCs w:val="28"/>
        </w:rPr>
        <w:t>Підгірці</w:t>
      </w:r>
      <w:proofErr w:type="spellEnd"/>
      <w:r w:rsidRPr="001619FE">
        <w:rPr>
          <w:sz w:val="28"/>
          <w:szCs w:val="28"/>
        </w:rPr>
        <w:t xml:space="preserve">, </w:t>
      </w:r>
      <w:proofErr w:type="spellStart"/>
      <w:r w:rsidRPr="001619FE">
        <w:rPr>
          <w:sz w:val="28"/>
          <w:szCs w:val="28"/>
        </w:rPr>
        <w:t>Станківці</w:t>
      </w:r>
      <w:proofErr w:type="spellEnd"/>
      <w:r w:rsidRPr="001619FE">
        <w:rPr>
          <w:sz w:val="28"/>
          <w:szCs w:val="28"/>
        </w:rPr>
        <w:t xml:space="preserve">, </w:t>
      </w:r>
      <w:proofErr w:type="spellStart"/>
      <w:r w:rsidRPr="001619FE">
        <w:rPr>
          <w:sz w:val="28"/>
          <w:szCs w:val="28"/>
        </w:rPr>
        <w:t>Тужанівці</w:t>
      </w:r>
      <w:proofErr w:type="spellEnd"/>
      <w:r w:rsidRPr="001619FE">
        <w:rPr>
          <w:sz w:val="28"/>
          <w:szCs w:val="28"/>
        </w:rPr>
        <w:t>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Адміністративно громада охоплює </w:t>
      </w:r>
      <w:proofErr w:type="spellStart"/>
      <w:r w:rsidRPr="001619FE">
        <w:rPr>
          <w:sz w:val="28"/>
          <w:szCs w:val="28"/>
        </w:rPr>
        <w:t>Новороздільську</w:t>
      </w:r>
      <w:proofErr w:type="spellEnd"/>
      <w:r w:rsidRPr="001619FE">
        <w:rPr>
          <w:sz w:val="28"/>
          <w:szCs w:val="28"/>
        </w:rPr>
        <w:t xml:space="preserve"> міську раду та п’ять </w:t>
      </w:r>
      <w:proofErr w:type="spellStart"/>
      <w:r w:rsidRPr="001619FE">
        <w:rPr>
          <w:sz w:val="28"/>
          <w:szCs w:val="28"/>
        </w:rPr>
        <w:t>старостинських</w:t>
      </w:r>
      <w:proofErr w:type="spellEnd"/>
      <w:r w:rsidRPr="001619FE">
        <w:rPr>
          <w:sz w:val="28"/>
          <w:szCs w:val="28"/>
        </w:rPr>
        <w:t xml:space="preserve"> округів: </w:t>
      </w:r>
      <w:proofErr w:type="spellStart"/>
      <w:r w:rsidRPr="001619FE">
        <w:rPr>
          <w:sz w:val="28"/>
          <w:szCs w:val="28"/>
        </w:rPr>
        <w:t>Роздільський</w:t>
      </w:r>
      <w:proofErr w:type="spellEnd"/>
      <w:r w:rsidRPr="001619FE">
        <w:rPr>
          <w:sz w:val="28"/>
          <w:szCs w:val="28"/>
        </w:rPr>
        <w:t xml:space="preserve">, </w:t>
      </w:r>
      <w:proofErr w:type="spellStart"/>
      <w:r w:rsidRPr="001619FE">
        <w:rPr>
          <w:sz w:val="28"/>
          <w:szCs w:val="28"/>
        </w:rPr>
        <w:t>Березинський</w:t>
      </w:r>
      <w:proofErr w:type="spellEnd"/>
      <w:r w:rsidRPr="001619FE">
        <w:rPr>
          <w:sz w:val="28"/>
          <w:szCs w:val="28"/>
        </w:rPr>
        <w:t xml:space="preserve">, </w:t>
      </w:r>
      <w:proofErr w:type="spellStart"/>
      <w:r w:rsidRPr="001619FE">
        <w:rPr>
          <w:sz w:val="28"/>
          <w:szCs w:val="28"/>
        </w:rPr>
        <w:t>Станківецький</w:t>
      </w:r>
      <w:proofErr w:type="spellEnd"/>
      <w:r w:rsidRPr="001619FE">
        <w:rPr>
          <w:sz w:val="28"/>
          <w:szCs w:val="28"/>
        </w:rPr>
        <w:t xml:space="preserve">, </w:t>
      </w:r>
      <w:proofErr w:type="spellStart"/>
      <w:r w:rsidRPr="001619FE">
        <w:rPr>
          <w:sz w:val="28"/>
          <w:szCs w:val="28"/>
        </w:rPr>
        <w:t>Берездівецький</w:t>
      </w:r>
      <w:proofErr w:type="spellEnd"/>
      <w:r w:rsidRPr="001619FE">
        <w:rPr>
          <w:sz w:val="28"/>
          <w:szCs w:val="28"/>
        </w:rPr>
        <w:t xml:space="preserve"> та </w:t>
      </w:r>
      <w:proofErr w:type="spellStart"/>
      <w:r w:rsidRPr="001619FE">
        <w:rPr>
          <w:sz w:val="28"/>
          <w:szCs w:val="28"/>
        </w:rPr>
        <w:t>Горішненський</w:t>
      </w:r>
      <w:proofErr w:type="spellEnd"/>
      <w:r w:rsidRPr="001619FE">
        <w:rPr>
          <w:sz w:val="28"/>
          <w:szCs w:val="28"/>
        </w:rPr>
        <w:t>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  </w:t>
      </w:r>
    </w:p>
    <w:p w:rsidR="002B0B80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 </w:t>
      </w:r>
      <w:proofErr w:type="spellStart"/>
      <w:r w:rsidRPr="001619FE">
        <w:rPr>
          <w:sz w:val="28"/>
          <w:szCs w:val="28"/>
        </w:rPr>
        <w:t>Новороздільська</w:t>
      </w:r>
      <w:proofErr w:type="spellEnd"/>
      <w:r w:rsidRPr="001619FE">
        <w:rPr>
          <w:sz w:val="28"/>
          <w:szCs w:val="28"/>
        </w:rPr>
        <w:t xml:space="preserve"> громада має потужне індустріальне минуле, сформоване навколо хімічної промисловості, і сьогодні виступає осередком локального економічного зростання у Львівській області. Вигідне географічне розташування, розвинена інженерна інфраструктура, наявність вільних виробничих площ і кваліфікованих кадрів створюють передумови для відновле</w:t>
      </w:r>
      <w:r>
        <w:rPr>
          <w:sz w:val="28"/>
          <w:szCs w:val="28"/>
        </w:rPr>
        <w:t>ння та диверсифікації економіки.</w:t>
      </w:r>
    </w:p>
    <w:p w:rsidR="002B0B80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  Промисловість є провідною галуззю економіки громади. Основу промислового сектору становлять підприємства:</w:t>
      </w:r>
    </w:p>
    <w:p w:rsidR="002B0B80" w:rsidRDefault="002B0B80" w:rsidP="001619FE">
      <w:pPr>
        <w:pStyle w:val="ad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2B0B80" w:rsidRPr="001619FE" w:rsidRDefault="002B0B80" w:rsidP="001619FE">
      <w:pPr>
        <w:pStyle w:val="ad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хімічної, машинобудівної, деревообробної, легкої та харчової промисловості.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Серед промислових підприємств:</w:t>
      </w:r>
    </w:p>
    <w:p w:rsidR="002B0B80" w:rsidRPr="001619FE" w:rsidRDefault="002B0B80" w:rsidP="001619FE">
      <w:pPr>
        <w:pStyle w:val="ad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ТОВ «ДМЗ «Карпати», ТОВ «</w:t>
      </w:r>
      <w:proofErr w:type="spellStart"/>
      <w:r w:rsidRPr="001619FE">
        <w:rPr>
          <w:sz w:val="28"/>
          <w:szCs w:val="28"/>
        </w:rPr>
        <w:t>ОДВ-Електрик</w:t>
      </w:r>
      <w:proofErr w:type="spellEnd"/>
      <w:r w:rsidRPr="001619FE">
        <w:rPr>
          <w:sz w:val="28"/>
          <w:szCs w:val="28"/>
        </w:rPr>
        <w:t xml:space="preserve">», </w:t>
      </w:r>
      <w:proofErr w:type="spellStart"/>
      <w:r w:rsidRPr="001619FE">
        <w:rPr>
          <w:sz w:val="28"/>
          <w:szCs w:val="28"/>
        </w:rPr>
        <w:t>ПрАТ</w:t>
      </w:r>
      <w:proofErr w:type="spellEnd"/>
      <w:r w:rsidRPr="001619FE">
        <w:rPr>
          <w:sz w:val="28"/>
          <w:szCs w:val="28"/>
        </w:rPr>
        <w:t xml:space="preserve"> «</w:t>
      </w:r>
      <w:proofErr w:type="spellStart"/>
      <w:r w:rsidRPr="001619FE">
        <w:rPr>
          <w:sz w:val="28"/>
          <w:szCs w:val="28"/>
        </w:rPr>
        <w:t>Роздільський</w:t>
      </w:r>
      <w:proofErr w:type="spellEnd"/>
      <w:r w:rsidRPr="001619FE">
        <w:rPr>
          <w:sz w:val="28"/>
          <w:szCs w:val="28"/>
        </w:rPr>
        <w:t xml:space="preserve"> керамічний завод», Філія «</w:t>
      </w:r>
      <w:proofErr w:type="spellStart"/>
      <w:r w:rsidRPr="001619FE">
        <w:rPr>
          <w:sz w:val="28"/>
          <w:szCs w:val="28"/>
        </w:rPr>
        <w:t>Новороздільська</w:t>
      </w:r>
      <w:proofErr w:type="spellEnd"/>
      <w:r w:rsidRPr="001619FE">
        <w:rPr>
          <w:sz w:val="28"/>
          <w:szCs w:val="28"/>
        </w:rPr>
        <w:t xml:space="preserve"> ТЕЦ» ТОВ «</w:t>
      </w:r>
      <w:proofErr w:type="spellStart"/>
      <w:r w:rsidRPr="001619FE">
        <w:rPr>
          <w:sz w:val="28"/>
          <w:szCs w:val="28"/>
        </w:rPr>
        <w:t>Нафтогаз</w:t>
      </w:r>
      <w:proofErr w:type="spellEnd"/>
      <w:r w:rsidRPr="001619FE">
        <w:rPr>
          <w:sz w:val="28"/>
          <w:szCs w:val="28"/>
        </w:rPr>
        <w:t xml:space="preserve"> Тепло», Філія «</w:t>
      </w:r>
      <w:proofErr w:type="spellStart"/>
      <w:r w:rsidRPr="001619FE">
        <w:rPr>
          <w:sz w:val="28"/>
          <w:szCs w:val="28"/>
        </w:rPr>
        <w:t>Новороздільські</w:t>
      </w:r>
      <w:proofErr w:type="spellEnd"/>
      <w:r w:rsidRPr="001619FE">
        <w:rPr>
          <w:sz w:val="28"/>
          <w:szCs w:val="28"/>
        </w:rPr>
        <w:t xml:space="preserve"> електромережі» ТОВ «</w:t>
      </w:r>
      <w:proofErr w:type="spellStart"/>
      <w:r w:rsidRPr="001619FE">
        <w:rPr>
          <w:sz w:val="28"/>
          <w:szCs w:val="28"/>
        </w:rPr>
        <w:t>Нафтогаз</w:t>
      </w:r>
      <w:proofErr w:type="spellEnd"/>
      <w:r w:rsidRPr="001619FE">
        <w:rPr>
          <w:sz w:val="28"/>
          <w:szCs w:val="28"/>
        </w:rPr>
        <w:t xml:space="preserve"> Тепло», </w:t>
      </w:r>
      <w:proofErr w:type="spellStart"/>
      <w:r w:rsidRPr="001619FE">
        <w:rPr>
          <w:sz w:val="28"/>
          <w:szCs w:val="28"/>
        </w:rPr>
        <w:t>ПрАТ</w:t>
      </w:r>
      <w:proofErr w:type="spellEnd"/>
      <w:r w:rsidRPr="001619FE">
        <w:rPr>
          <w:sz w:val="28"/>
          <w:szCs w:val="28"/>
        </w:rPr>
        <w:t xml:space="preserve"> «НГХП «Сірка», ТОВ «Ліг Агро», ТОВ «Захід-Солод», ТОВ «</w:t>
      </w:r>
      <w:proofErr w:type="spellStart"/>
      <w:r w:rsidRPr="001619FE">
        <w:rPr>
          <w:sz w:val="28"/>
          <w:szCs w:val="28"/>
        </w:rPr>
        <w:t>Галгіпс</w:t>
      </w:r>
      <w:proofErr w:type="spellEnd"/>
      <w:r w:rsidRPr="001619FE">
        <w:rPr>
          <w:sz w:val="28"/>
          <w:szCs w:val="28"/>
        </w:rPr>
        <w:t>».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Життєзабезпечення в сфері водопостачання та водовідведення забезпечують:</w:t>
      </w:r>
    </w:p>
    <w:p w:rsidR="002B0B80" w:rsidRPr="001619FE" w:rsidRDefault="002B0B80" w:rsidP="001619FE">
      <w:pPr>
        <w:pStyle w:val="ad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619FE">
        <w:rPr>
          <w:sz w:val="28"/>
          <w:szCs w:val="28"/>
        </w:rPr>
        <w:t>ТзОВ</w:t>
      </w:r>
      <w:proofErr w:type="spellEnd"/>
      <w:r w:rsidRPr="001619FE">
        <w:rPr>
          <w:sz w:val="28"/>
          <w:szCs w:val="28"/>
        </w:rPr>
        <w:t xml:space="preserve"> «Енергія-Новий Розділ», </w:t>
      </w:r>
      <w:proofErr w:type="spellStart"/>
      <w:r w:rsidRPr="001619FE">
        <w:rPr>
          <w:sz w:val="28"/>
          <w:szCs w:val="28"/>
        </w:rPr>
        <w:t>КП</w:t>
      </w:r>
      <w:proofErr w:type="spellEnd"/>
      <w:r w:rsidRPr="001619FE">
        <w:rPr>
          <w:sz w:val="28"/>
          <w:szCs w:val="28"/>
        </w:rPr>
        <w:t xml:space="preserve"> «Розділ».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    У громаді зростає частка малого та середнього бізнесу. Найактивніше розвиваються такі сфери: торгівля, побутові та інші послуги,   будівництво, логістика та </w:t>
      </w:r>
      <w:proofErr w:type="spellStart"/>
      <w:r w:rsidRPr="001619FE">
        <w:rPr>
          <w:sz w:val="28"/>
          <w:szCs w:val="28"/>
        </w:rPr>
        <w:t>авторемонт</w:t>
      </w:r>
      <w:proofErr w:type="spellEnd"/>
      <w:r w:rsidRPr="001619FE">
        <w:rPr>
          <w:sz w:val="28"/>
          <w:szCs w:val="28"/>
        </w:rPr>
        <w:t>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 Підприємницька активність зосереджена переважно в місті Новий Розділ. У перспективі громада розглядає розвиток бізнесу на сільських територіях шляхом:</w:t>
      </w:r>
    </w:p>
    <w:p w:rsidR="002B0B80" w:rsidRPr="001619FE" w:rsidRDefault="002B0B80" w:rsidP="001619FE">
      <w:pPr>
        <w:pStyle w:val="ad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розширення мережі підтримки,</w:t>
      </w:r>
    </w:p>
    <w:p w:rsidR="002B0B80" w:rsidRPr="001619FE" w:rsidRDefault="002B0B80" w:rsidP="001619FE">
      <w:pPr>
        <w:pStyle w:val="ad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впровадження програм доступного фінансування,</w:t>
      </w:r>
    </w:p>
    <w:p w:rsidR="002B0B80" w:rsidRPr="001619FE" w:rsidRDefault="002B0B80" w:rsidP="001619FE">
      <w:pPr>
        <w:pStyle w:val="ad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організації консультацій та навчань.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Кількість суб’єктів малого і середнього підприємництва — близько 1366, з них:</w:t>
      </w:r>
    </w:p>
    <w:p w:rsidR="002B0B80" w:rsidRPr="001619FE" w:rsidRDefault="002B0B80" w:rsidP="001619FE">
      <w:pPr>
        <w:pStyle w:val="ad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малі та середні підприємства — 186,</w:t>
      </w:r>
    </w:p>
    <w:p w:rsidR="002B0B80" w:rsidRPr="001619FE" w:rsidRDefault="002B0B80" w:rsidP="001619FE">
      <w:pPr>
        <w:pStyle w:val="ad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619FE">
        <w:rPr>
          <w:sz w:val="28"/>
          <w:szCs w:val="28"/>
        </w:rPr>
        <w:t>мікро-</w:t>
      </w:r>
      <w:proofErr w:type="spellEnd"/>
      <w:r w:rsidRPr="001619FE">
        <w:rPr>
          <w:sz w:val="28"/>
          <w:szCs w:val="28"/>
        </w:rPr>
        <w:t xml:space="preserve"> та малі — 1180.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 У </w:t>
      </w:r>
      <w:proofErr w:type="spellStart"/>
      <w:r w:rsidRPr="001619FE">
        <w:rPr>
          <w:sz w:val="28"/>
          <w:szCs w:val="28"/>
        </w:rPr>
        <w:t>Новороздільській</w:t>
      </w:r>
      <w:proofErr w:type="spellEnd"/>
      <w:r w:rsidRPr="001619FE">
        <w:rPr>
          <w:sz w:val="28"/>
          <w:szCs w:val="28"/>
        </w:rPr>
        <w:t xml:space="preserve"> громаді функціонують 211 об’єктів роздрібної торгівлі. Торгові площі становлять </w:t>
      </w:r>
      <w:smartTag w:uri="urn:schemas-microsoft-com:office:smarttags" w:element="metricconverter">
        <w:smartTagPr>
          <w:attr w:name="ProductID" w:val="8 820 м²"/>
        </w:smartTagPr>
        <w:r w:rsidRPr="001619FE">
          <w:rPr>
            <w:sz w:val="28"/>
            <w:szCs w:val="28"/>
          </w:rPr>
          <w:t>8 820 м²</w:t>
        </w:r>
      </w:smartTag>
      <w:r w:rsidRPr="001619FE">
        <w:rPr>
          <w:sz w:val="28"/>
          <w:szCs w:val="28"/>
        </w:rPr>
        <w:t>. На території громади працюють:</w:t>
      </w:r>
    </w:p>
    <w:p w:rsidR="002B0B80" w:rsidRPr="001619FE" w:rsidRDefault="002B0B80" w:rsidP="001619FE">
      <w:pPr>
        <w:pStyle w:val="ad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супермаркети мережі «Рукавичка» (</w:t>
      </w:r>
      <w:proofErr w:type="spellStart"/>
      <w:r w:rsidRPr="001619FE">
        <w:rPr>
          <w:sz w:val="28"/>
          <w:szCs w:val="28"/>
        </w:rPr>
        <w:t>ТзОВ</w:t>
      </w:r>
      <w:proofErr w:type="spellEnd"/>
      <w:r w:rsidRPr="001619FE">
        <w:rPr>
          <w:sz w:val="28"/>
          <w:szCs w:val="28"/>
        </w:rPr>
        <w:t xml:space="preserve"> ТВК «</w:t>
      </w:r>
      <w:proofErr w:type="spellStart"/>
      <w:r w:rsidRPr="001619FE">
        <w:rPr>
          <w:sz w:val="28"/>
          <w:szCs w:val="28"/>
        </w:rPr>
        <w:t>Львівхолод</w:t>
      </w:r>
      <w:proofErr w:type="spellEnd"/>
      <w:r w:rsidRPr="001619FE">
        <w:rPr>
          <w:sz w:val="28"/>
          <w:szCs w:val="28"/>
        </w:rPr>
        <w:t xml:space="preserve">») — 3 одиниці, ТЦ «Новий», «Сім-23. Зручний </w:t>
      </w:r>
      <w:proofErr w:type="spellStart"/>
      <w:r w:rsidRPr="001619FE">
        <w:rPr>
          <w:sz w:val="28"/>
          <w:szCs w:val="28"/>
        </w:rPr>
        <w:t>маркет</w:t>
      </w:r>
      <w:proofErr w:type="spellEnd"/>
      <w:r w:rsidRPr="001619FE">
        <w:rPr>
          <w:sz w:val="28"/>
          <w:szCs w:val="28"/>
        </w:rPr>
        <w:t>», «</w:t>
      </w:r>
      <w:proofErr w:type="spellStart"/>
      <w:r w:rsidRPr="001619FE">
        <w:rPr>
          <w:sz w:val="28"/>
          <w:szCs w:val="28"/>
        </w:rPr>
        <w:t>АТБ-Маркет</w:t>
      </w:r>
      <w:proofErr w:type="spellEnd"/>
      <w:r w:rsidRPr="001619FE">
        <w:rPr>
          <w:sz w:val="28"/>
          <w:szCs w:val="28"/>
        </w:rPr>
        <w:t xml:space="preserve">», «Епіцентр», </w:t>
      </w:r>
      <w:proofErr w:type="spellStart"/>
      <w:r w:rsidRPr="001619FE">
        <w:rPr>
          <w:sz w:val="28"/>
          <w:szCs w:val="28"/>
        </w:rPr>
        <w:t>мультимаркети</w:t>
      </w:r>
      <w:proofErr w:type="spellEnd"/>
      <w:r w:rsidRPr="001619FE">
        <w:rPr>
          <w:sz w:val="28"/>
          <w:szCs w:val="28"/>
        </w:rPr>
        <w:t xml:space="preserve"> «Аврора» — 2 одиниці.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 Також діють: МКТП «Міський ринок», Торговий комплекс </w:t>
      </w:r>
      <w:proofErr w:type="spellStart"/>
      <w:r w:rsidRPr="001619FE">
        <w:rPr>
          <w:sz w:val="28"/>
          <w:szCs w:val="28"/>
        </w:rPr>
        <w:t>ТзОВ</w:t>
      </w:r>
      <w:proofErr w:type="spellEnd"/>
      <w:r w:rsidRPr="001619FE">
        <w:rPr>
          <w:sz w:val="28"/>
          <w:szCs w:val="28"/>
        </w:rPr>
        <w:t xml:space="preserve"> «Грім».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 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Останніми роками реалізовано низку інфраструктурних </w:t>
      </w:r>
      <w:proofErr w:type="spellStart"/>
      <w:r w:rsidRPr="001619FE">
        <w:rPr>
          <w:sz w:val="28"/>
          <w:szCs w:val="28"/>
        </w:rPr>
        <w:t>проєктів</w:t>
      </w:r>
      <w:proofErr w:type="spellEnd"/>
      <w:r w:rsidRPr="001619FE">
        <w:rPr>
          <w:sz w:val="28"/>
          <w:szCs w:val="28"/>
        </w:rPr>
        <w:t xml:space="preserve"> за підтримки державних і міжнародних джерел фінансування, зокрема:</w:t>
      </w:r>
    </w:p>
    <w:p w:rsidR="002B0B80" w:rsidRPr="001619FE" w:rsidRDefault="002B0B80" w:rsidP="001619FE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модернізація систем теплопостачання,</w:t>
      </w:r>
    </w:p>
    <w:p w:rsidR="002B0B80" w:rsidRPr="001619FE" w:rsidRDefault="002B0B80" w:rsidP="001619FE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реконструкція об’єктів освіти й охорони здоров’я,</w:t>
      </w:r>
    </w:p>
    <w:p w:rsidR="002B0B80" w:rsidRPr="001619FE" w:rsidRDefault="002B0B80" w:rsidP="001619FE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будівництво доріг місцевого значення,</w:t>
      </w:r>
    </w:p>
    <w:p w:rsidR="002B0B80" w:rsidRPr="001619FE" w:rsidRDefault="002B0B80" w:rsidP="001619FE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впровадження </w:t>
      </w:r>
      <w:proofErr w:type="spellStart"/>
      <w:r w:rsidRPr="001619FE">
        <w:rPr>
          <w:sz w:val="28"/>
          <w:szCs w:val="28"/>
        </w:rPr>
        <w:t>енергоефективних</w:t>
      </w:r>
      <w:proofErr w:type="spellEnd"/>
      <w:r w:rsidRPr="001619FE">
        <w:rPr>
          <w:sz w:val="28"/>
          <w:szCs w:val="28"/>
        </w:rPr>
        <w:t xml:space="preserve"> заходів (у межах ПДСЕРК),</w:t>
      </w:r>
    </w:p>
    <w:p w:rsidR="002B0B80" w:rsidRPr="001619FE" w:rsidRDefault="002B0B80" w:rsidP="001619FE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розвиток цифрової інфраструктури.</w:t>
      </w:r>
    </w:p>
    <w:p w:rsidR="002B0B80" w:rsidRPr="001619FE" w:rsidRDefault="002B0B80" w:rsidP="00161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    Сільське господарство  у громаді представлено переважно малими приватними господарствами, які спеціалізуються на: вирощуванні зернових і технічних культур, садівництві, дрібному тваринництві.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 Діють сільськогосподарські підприємства:</w:t>
      </w:r>
    </w:p>
    <w:p w:rsidR="002B0B80" w:rsidRPr="001619FE" w:rsidRDefault="002B0B80" w:rsidP="001619FE">
      <w:pPr>
        <w:pStyle w:val="ad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МПП «Добробут» (розведення свійської птиці),</w:t>
      </w:r>
    </w:p>
    <w:p w:rsidR="002B0B80" w:rsidRPr="001619FE" w:rsidRDefault="002B0B80" w:rsidP="001619FE">
      <w:pPr>
        <w:pStyle w:val="ad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ТОВ «</w:t>
      </w:r>
      <w:proofErr w:type="spellStart"/>
      <w:r w:rsidRPr="001619FE">
        <w:rPr>
          <w:sz w:val="28"/>
          <w:szCs w:val="28"/>
        </w:rPr>
        <w:t>Фундсад</w:t>
      </w:r>
      <w:proofErr w:type="spellEnd"/>
      <w:r w:rsidRPr="001619FE">
        <w:rPr>
          <w:sz w:val="28"/>
          <w:szCs w:val="28"/>
        </w:rPr>
        <w:t>» (вирощування горіхів),</w:t>
      </w:r>
    </w:p>
    <w:p w:rsidR="002B0B80" w:rsidRPr="001619FE" w:rsidRDefault="002B0B80" w:rsidP="001619FE">
      <w:pPr>
        <w:pStyle w:val="ad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lastRenderedPageBreak/>
        <w:t>ТОВ «Флора-Вест» (вирощування квітів),</w:t>
      </w:r>
    </w:p>
    <w:p w:rsidR="002B0B80" w:rsidRPr="001619FE" w:rsidRDefault="002B0B80" w:rsidP="001619FE">
      <w:pPr>
        <w:pStyle w:val="ad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619FE">
        <w:rPr>
          <w:sz w:val="28"/>
          <w:szCs w:val="28"/>
        </w:rPr>
        <w:t>ФОП</w:t>
      </w:r>
      <w:proofErr w:type="spellEnd"/>
      <w:r w:rsidRPr="001619FE">
        <w:rPr>
          <w:sz w:val="28"/>
          <w:szCs w:val="28"/>
        </w:rPr>
        <w:t xml:space="preserve"> </w:t>
      </w:r>
      <w:proofErr w:type="spellStart"/>
      <w:r w:rsidRPr="001619FE">
        <w:rPr>
          <w:sz w:val="28"/>
          <w:szCs w:val="28"/>
        </w:rPr>
        <w:t>Тилько</w:t>
      </w:r>
      <w:proofErr w:type="spellEnd"/>
      <w:r w:rsidRPr="001619FE">
        <w:rPr>
          <w:sz w:val="28"/>
          <w:szCs w:val="28"/>
        </w:rPr>
        <w:t xml:space="preserve"> О.Б.,</w:t>
      </w:r>
    </w:p>
    <w:p w:rsidR="002B0B80" w:rsidRPr="001619FE" w:rsidRDefault="002B0B80" w:rsidP="001619FE">
      <w:pPr>
        <w:pStyle w:val="ad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ФГ Чутка А.А.,</w:t>
      </w:r>
    </w:p>
    <w:p w:rsidR="002B0B80" w:rsidRPr="001619FE" w:rsidRDefault="002B0B80" w:rsidP="001619FE">
      <w:pPr>
        <w:pStyle w:val="ad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619FE">
        <w:rPr>
          <w:sz w:val="28"/>
          <w:szCs w:val="28"/>
        </w:rPr>
        <w:t>ФОП</w:t>
      </w:r>
      <w:proofErr w:type="spellEnd"/>
      <w:r w:rsidRPr="001619FE">
        <w:rPr>
          <w:sz w:val="28"/>
          <w:szCs w:val="28"/>
        </w:rPr>
        <w:t xml:space="preserve"> </w:t>
      </w:r>
      <w:proofErr w:type="spellStart"/>
      <w:r w:rsidRPr="001619FE">
        <w:rPr>
          <w:sz w:val="28"/>
          <w:szCs w:val="28"/>
        </w:rPr>
        <w:t>Бубенко</w:t>
      </w:r>
      <w:proofErr w:type="spellEnd"/>
      <w:r w:rsidRPr="001619FE">
        <w:rPr>
          <w:sz w:val="28"/>
          <w:szCs w:val="28"/>
        </w:rPr>
        <w:t xml:space="preserve"> О.З.</w:t>
      </w:r>
    </w:p>
    <w:p w:rsidR="002B0B80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</w:t>
      </w:r>
      <w:proofErr w:type="spellStart"/>
      <w:r w:rsidRPr="001619FE">
        <w:rPr>
          <w:sz w:val="28"/>
          <w:szCs w:val="28"/>
        </w:rPr>
        <w:t>Новороздільська</w:t>
      </w:r>
      <w:proofErr w:type="spellEnd"/>
      <w:r w:rsidRPr="001619FE">
        <w:rPr>
          <w:sz w:val="28"/>
          <w:szCs w:val="28"/>
        </w:rPr>
        <w:t xml:space="preserve"> територіальна громада має низку активів, які створюють сприятливі умови для залучення інвестицій:</w:t>
      </w:r>
    </w:p>
    <w:p w:rsidR="002B0B80" w:rsidRPr="001619FE" w:rsidRDefault="002B0B80" w:rsidP="001619FE">
      <w:pPr>
        <w:pStyle w:val="ad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вільні виробничі площі,</w:t>
      </w:r>
    </w:p>
    <w:p w:rsidR="002B0B80" w:rsidRPr="001619FE" w:rsidRDefault="002B0B80" w:rsidP="001619FE">
      <w:pPr>
        <w:pStyle w:val="ad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транспортна доступність (залізниця, автошляхи),</w:t>
      </w:r>
    </w:p>
    <w:p w:rsidR="002B0B80" w:rsidRPr="001619FE" w:rsidRDefault="002B0B80" w:rsidP="001619FE">
      <w:pPr>
        <w:pStyle w:val="ad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розвинена технічна інфраструктура,</w:t>
      </w:r>
    </w:p>
    <w:p w:rsidR="002B0B80" w:rsidRPr="001619FE" w:rsidRDefault="002B0B80" w:rsidP="001619FE">
      <w:pPr>
        <w:pStyle w:val="ad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наявність фахових кадрів.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Однак громада стикається з проблемами відтоку молоді та дефіцитом робітничих кадрів (будівельники, електрики, механіки, оператори обладнання). Ведеться співпраця з </w:t>
      </w:r>
      <w:proofErr w:type="spellStart"/>
      <w:r w:rsidRPr="001619FE">
        <w:rPr>
          <w:sz w:val="28"/>
          <w:szCs w:val="28"/>
        </w:rPr>
        <w:t>профтехосвітою</w:t>
      </w:r>
      <w:proofErr w:type="spellEnd"/>
      <w:r w:rsidRPr="001619FE">
        <w:rPr>
          <w:sz w:val="28"/>
          <w:szCs w:val="28"/>
        </w:rPr>
        <w:t xml:space="preserve"> для підготовки необхідних фахівців.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   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 Потенціал громади в туризмі базується на:</w:t>
      </w:r>
    </w:p>
    <w:p w:rsidR="002B0B80" w:rsidRPr="001619FE" w:rsidRDefault="002B0B80" w:rsidP="001619FE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природних ресурсах (озера, ліси),</w:t>
      </w:r>
    </w:p>
    <w:p w:rsidR="002B0B80" w:rsidRPr="001619FE" w:rsidRDefault="002B0B80" w:rsidP="001619FE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історико-культурній спадщині,</w:t>
      </w:r>
    </w:p>
    <w:p w:rsidR="002B0B80" w:rsidRPr="001619FE" w:rsidRDefault="002B0B80" w:rsidP="001619FE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об’єктах індустріального туризму.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Формується сфера дозвілля, зростає зацікавлення у створенні креативних просторів і соціальних підприємств. Потребує розвитку відповідна інфраструктура — інформаційні сервіси, заклади розміщення, локальна гастрономія.</w:t>
      </w:r>
    </w:p>
    <w:p w:rsidR="002B0B80" w:rsidRPr="001619FE" w:rsidRDefault="002B0B80" w:rsidP="00161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B80" w:rsidRPr="001619FE" w:rsidRDefault="002B0B80" w:rsidP="001619FE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619FE">
        <w:rPr>
          <w:rFonts w:ascii="Times New Roman" w:hAnsi="Times New Roman"/>
          <w:b w:val="0"/>
          <w:bCs w:val="0"/>
          <w:sz w:val="28"/>
          <w:szCs w:val="28"/>
        </w:rPr>
        <w:t xml:space="preserve">Стратегічні пріоритети економічного розвитку (2025–2027 роки) </w:t>
      </w:r>
      <w:proofErr w:type="spellStart"/>
      <w:r w:rsidRPr="001619FE">
        <w:rPr>
          <w:rFonts w:ascii="Times New Roman" w:hAnsi="Times New Roman"/>
          <w:b w:val="0"/>
          <w:bCs w:val="0"/>
          <w:sz w:val="28"/>
          <w:szCs w:val="28"/>
        </w:rPr>
        <w:t>Новороздільської</w:t>
      </w:r>
      <w:proofErr w:type="spellEnd"/>
      <w:r w:rsidRPr="001619FE">
        <w:rPr>
          <w:rFonts w:ascii="Times New Roman" w:hAnsi="Times New Roman"/>
          <w:b w:val="0"/>
          <w:bCs w:val="0"/>
          <w:sz w:val="28"/>
          <w:szCs w:val="28"/>
        </w:rPr>
        <w:t xml:space="preserve"> територіальної громади:</w:t>
      </w:r>
    </w:p>
    <w:p w:rsidR="002B0B80" w:rsidRPr="001619FE" w:rsidRDefault="002B0B80" w:rsidP="001619FE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619FE">
        <w:rPr>
          <w:rFonts w:ascii="Times New Roman" w:hAnsi="Times New Roman"/>
          <w:b w:val="0"/>
          <w:bCs w:val="0"/>
          <w:sz w:val="28"/>
          <w:szCs w:val="28"/>
        </w:rPr>
        <w:t>- Створення індустріального парку на базі наявної промислової зони.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 xml:space="preserve">- Залучення інвестицій в </w:t>
      </w:r>
      <w:proofErr w:type="spellStart"/>
      <w:r w:rsidRPr="001619FE">
        <w:rPr>
          <w:sz w:val="28"/>
          <w:szCs w:val="28"/>
        </w:rPr>
        <w:t>енергоефективність</w:t>
      </w:r>
      <w:proofErr w:type="spellEnd"/>
      <w:r w:rsidRPr="001619FE">
        <w:rPr>
          <w:sz w:val="28"/>
          <w:szCs w:val="28"/>
        </w:rPr>
        <w:t xml:space="preserve"> та відновлювану енергетику.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- Підтримка малого та середнього бізнесу (програми підтримки, доступне фінансування).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- Розвиток цифрової економіки та е-послуг.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- Покращення логістичної та транспортної інфраструктури.</w:t>
      </w:r>
    </w:p>
    <w:p w:rsidR="002B0B80" w:rsidRPr="001619FE" w:rsidRDefault="002B0B80" w:rsidP="001619F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19FE">
        <w:rPr>
          <w:sz w:val="28"/>
          <w:szCs w:val="28"/>
        </w:rPr>
        <w:t>- Стимулювання розвитку креативних галузей та внутрішнього туризму.</w:t>
      </w:r>
    </w:p>
    <w:p w:rsidR="002B0B80" w:rsidRPr="00972901" w:rsidRDefault="002B0B80" w:rsidP="004E30AD">
      <w:pPr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01">
        <w:rPr>
          <w:rFonts w:ascii="Times New Roman" w:hAnsi="Times New Roman" w:cs="Times New Roman"/>
          <w:sz w:val="28"/>
          <w:szCs w:val="28"/>
        </w:rPr>
        <w:t>Для розрахунку показників прогнозу міського бюджету  на 2026-2028 роки взято до уваги основні макроекономічні показники економічного та соціального розвитку України, розроблені Мінекономіки, а саме:</w:t>
      </w:r>
    </w:p>
    <w:p w:rsidR="002B0B80" w:rsidRPr="00823611" w:rsidRDefault="002B0B80" w:rsidP="00FB6016">
      <w:pPr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n381"/>
      <w:bookmarkEnd w:id="0"/>
      <w:r w:rsidRPr="00823611">
        <w:rPr>
          <w:rFonts w:ascii="Times New Roman" w:hAnsi="Times New Roman" w:cs="Times New Roman"/>
        </w:rPr>
        <w:t xml:space="preserve">  </w:t>
      </w:r>
      <w:r w:rsidRPr="00823611">
        <w:rPr>
          <w:rFonts w:ascii="Times New Roman" w:hAnsi="Times New Roman" w:cs="Times New Roman"/>
          <w:sz w:val="28"/>
          <w:szCs w:val="28"/>
          <w:lang w:eastAsia="en-US"/>
        </w:rPr>
        <w:t>- індекс споживчих цін  (грудень до грудня попереднього року) у 2026 році – 108,6 відсотки, у 2027 році – 105,9 відсотки, у 2028 році – 105,3 відсотків;</w:t>
      </w:r>
    </w:p>
    <w:p w:rsidR="002B0B80" w:rsidRPr="00823611" w:rsidRDefault="002B0B80" w:rsidP="00FB6016">
      <w:pPr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823611">
        <w:rPr>
          <w:rFonts w:ascii="Times New Roman" w:hAnsi="Times New Roman" w:cs="Times New Roman"/>
          <w:sz w:val="28"/>
          <w:szCs w:val="28"/>
          <w:lang w:eastAsia="en-US"/>
        </w:rPr>
        <w:t>- індекс цін виробників (грудень до грудня попереднього року) у 2026 році – 11,3 відсотків, у 2027 році – 109,4 відсотків, у 2028 році – 107,9 відсотків.</w:t>
      </w:r>
    </w:p>
    <w:p w:rsidR="002B0B80" w:rsidRPr="00823611" w:rsidRDefault="002B0B80" w:rsidP="00DC3170">
      <w:pPr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823611">
        <w:rPr>
          <w:rFonts w:ascii="Times New Roman" w:hAnsi="Times New Roman" w:cs="Times New Roman"/>
          <w:sz w:val="28"/>
          <w:szCs w:val="28"/>
          <w:lang w:eastAsia="en-US"/>
        </w:rPr>
        <w:t>- мінімальна заробітна плата з 1 січня 2026 року – 8 688 гривень, з 1 січня  2027 року – 9 374 гривні, з 1 січня 2028 року – 10 059 гривень;</w:t>
      </w:r>
    </w:p>
    <w:p w:rsidR="002B0B80" w:rsidRPr="00823611" w:rsidRDefault="002B0B80" w:rsidP="00DC3170">
      <w:pPr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823611">
        <w:rPr>
          <w:rFonts w:ascii="Times New Roman" w:hAnsi="Times New Roman" w:cs="Times New Roman"/>
          <w:sz w:val="28"/>
          <w:szCs w:val="28"/>
          <w:lang w:eastAsia="en-US"/>
        </w:rPr>
        <w:t>- посадовий оклад працівника І тарифного розряду Єдиної тарифної сітки з 1 січня 2026 року – 3 470,0 гривень, з 1 січня 2027 року – 3 744 гривні, з 1 січня 2028 року – 4 018  гривні;</w:t>
      </w:r>
    </w:p>
    <w:p w:rsidR="002B0B80" w:rsidRPr="00D3097B" w:rsidRDefault="002B0B80" w:rsidP="003D7616">
      <w:pPr>
        <w:spacing w:after="12" w:line="256" w:lineRule="auto"/>
        <w:ind w:left="708"/>
        <w:rPr>
          <w:rFonts w:ascii="Times New Roman" w:hAnsi="Times New Roman" w:cs="Times New Roman"/>
          <w:color w:val="800000"/>
          <w:sz w:val="28"/>
        </w:rPr>
      </w:pPr>
    </w:p>
    <w:p w:rsidR="002B0B80" w:rsidRDefault="002B0B80" w:rsidP="002D0F1D">
      <w:pPr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B80" w:rsidRPr="008143B6" w:rsidRDefault="002B0B80" w:rsidP="002D0F1D">
      <w:pPr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6">
        <w:rPr>
          <w:rFonts w:ascii="Times New Roman" w:hAnsi="Times New Roman" w:cs="Times New Roman"/>
          <w:b/>
          <w:sz w:val="28"/>
          <w:szCs w:val="28"/>
        </w:rPr>
        <w:t>ІІІ. Загальні показники бюджету</w:t>
      </w:r>
    </w:p>
    <w:p w:rsidR="002B0B80" w:rsidRDefault="002B0B80" w:rsidP="00907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A7">
        <w:rPr>
          <w:rFonts w:ascii="Times New Roman" w:hAnsi="Times New Roman" w:cs="Times New Roman"/>
          <w:sz w:val="28"/>
          <w:szCs w:val="28"/>
        </w:rPr>
        <w:t>У цілому прогноз фінансового ресурсу міського бюджету на 2026-2028 роки та загальні граничні показники видатків міського бюджету становлять:</w:t>
      </w:r>
    </w:p>
    <w:p w:rsidR="002B0B80" w:rsidRDefault="002B0B80" w:rsidP="00B51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B80" w:rsidRPr="002B41E5" w:rsidRDefault="002B0B80" w:rsidP="00B51D6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130B">
        <w:rPr>
          <w:rFonts w:ascii="Times New Roman" w:hAnsi="Times New Roman" w:cs="Times New Roman"/>
          <w:sz w:val="28"/>
          <w:szCs w:val="28"/>
        </w:rPr>
        <w:t>на 2026 рік – 345 020 900,00 грн.</w:t>
      </w:r>
      <w:r w:rsidRPr="00B51D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в т. ч. публічні інвестиції – 8 403 300,00 грн. </w:t>
      </w:r>
    </w:p>
    <w:p w:rsidR="002B0B80" w:rsidRPr="0010130B" w:rsidRDefault="002B0B80" w:rsidP="00B51D6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10130B">
        <w:rPr>
          <w:rFonts w:ascii="Times New Roman" w:hAnsi="Times New Roman" w:cs="Times New Roman"/>
          <w:sz w:val="28"/>
          <w:szCs w:val="28"/>
        </w:rPr>
        <w:t xml:space="preserve"> (ріст до затвердженого бюджету з урахуванням змін станом на 01.07.2</w:t>
      </w:r>
      <w:r>
        <w:rPr>
          <w:rFonts w:ascii="Times New Roman" w:hAnsi="Times New Roman" w:cs="Times New Roman"/>
          <w:sz w:val="28"/>
          <w:szCs w:val="28"/>
        </w:rPr>
        <w:t xml:space="preserve">025 року на 33 255 368,00 грн.  або </w:t>
      </w:r>
      <w:r w:rsidRPr="0010130B">
        <w:rPr>
          <w:rFonts w:ascii="Times New Roman" w:hAnsi="Times New Roman" w:cs="Times New Roman"/>
          <w:sz w:val="28"/>
          <w:szCs w:val="28"/>
        </w:rPr>
        <w:t xml:space="preserve">10,7 відсотків) та до звіту за </w:t>
      </w:r>
      <w:r>
        <w:rPr>
          <w:rFonts w:ascii="Times New Roman" w:hAnsi="Times New Roman" w:cs="Times New Roman"/>
          <w:sz w:val="28"/>
          <w:szCs w:val="28"/>
        </w:rPr>
        <w:t xml:space="preserve">2024 рік -  14 335 137,00 грн.  або </w:t>
      </w:r>
      <w:r w:rsidRPr="0010130B">
        <w:rPr>
          <w:rFonts w:ascii="Times New Roman" w:hAnsi="Times New Roman" w:cs="Times New Roman"/>
          <w:sz w:val="28"/>
          <w:szCs w:val="28"/>
        </w:rPr>
        <w:t>4,3 відсотка) ;</w:t>
      </w:r>
    </w:p>
    <w:p w:rsidR="002B0B80" w:rsidRPr="002B41E5" w:rsidRDefault="002B0B80" w:rsidP="00B51D6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130B">
        <w:rPr>
          <w:rFonts w:ascii="Times New Roman" w:hAnsi="Times New Roman" w:cs="Times New Roman"/>
          <w:sz w:val="28"/>
          <w:szCs w:val="28"/>
        </w:rPr>
        <w:t>на 2027 рік – 353 658 900,00 грн.</w:t>
      </w:r>
      <w:r w:rsidRPr="00B51D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в т. ч. публічні інвестиції – 2 000 000,00 грн. </w:t>
      </w:r>
    </w:p>
    <w:p w:rsidR="002B0B80" w:rsidRPr="0010130B" w:rsidRDefault="002B0B80" w:rsidP="00B51D6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(ріст 8 638 000,00 грн.  або </w:t>
      </w:r>
      <w:r w:rsidRPr="0010130B">
        <w:rPr>
          <w:rFonts w:ascii="Times New Roman" w:hAnsi="Times New Roman" w:cs="Times New Roman"/>
          <w:sz w:val="28"/>
          <w:szCs w:val="28"/>
        </w:rPr>
        <w:t>2,5 відсотків);</w:t>
      </w:r>
    </w:p>
    <w:p w:rsidR="002B0B80" w:rsidRPr="002B41E5" w:rsidRDefault="002B0B80" w:rsidP="00B51D6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2028</w:t>
      </w:r>
      <w:r w:rsidRPr="0010130B">
        <w:rPr>
          <w:rFonts w:ascii="Times New Roman" w:hAnsi="Times New Roman" w:cs="Times New Roman"/>
          <w:sz w:val="28"/>
          <w:szCs w:val="28"/>
        </w:rPr>
        <w:t xml:space="preserve"> рік – 399 808 200,00 грн.</w:t>
      </w:r>
      <w:r w:rsidRPr="00B51D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в т. ч. публічні інвестиції – 20 000 000,00 грн. </w:t>
      </w:r>
    </w:p>
    <w:p w:rsidR="002B0B80" w:rsidRDefault="002B0B80" w:rsidP="00B51D6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(ріст 46 149 300,00 грн. або </w:t>
      </w:r>
      <w:r w:rsidRPr="0010130B">
        <w:rPr>
          <w:rFonts w:ascii="Times New Roman" w:hAnsi="Times New Roman" w:cs="Times New Roman"/>
          <w:sz w:val="28"/>
          <w:szCs w:val="28"/>
        </w:rPr>
        <w:t>13,0 відсотків).</w:t>
      </w:r>
    </w:p>
    <w:p w:rsidR="002B0B80" w:rsidRPr="0010130B" w:rsidRDefault="002B0B80" w:rsidP="005D2D9F">
      <w:pPr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284">
        <w:rPr>
          <w:rFonts w:ascii="Times New Roman" w:hAnsi="Times New Roman" w:cs="Times New Roman"/>
          <w:sz w:val="28"/>
          <w:szCs w:val="28"/>
          <w:lang w:eastAsia="en-US"/>
        </w:rPr>
        <w:t xml:space="preserve">Інформація щодо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загальних </w:t>
      </w:r>
      <w:r w:rsidRPr="00CA1284">
        <w:rPr>
          <w:rFonts w:ascii="Times New Roman" w:hAnsi="Times New Roman" w:cs="Times New Roman"/>
          <w:sz w:val="28"/>
          <w:szCs w:val="28"/>
          <w:lang w:eastAsia="en-US"/>
        </w:rPr>
        <w:t xml:space="preserve">показників </w:t>
      </w:r>
      <w:r>
        <w:rPr>
          <w:rFonts w:ascii="Times New Roman" w:hAnsi="Times New Roman" w:cs="Times New Roman"/>
          <w:sz w:val="28"/>
          <w:szCs w:val="28"/>
          <w:lang w:eastAsia="en-US"/>
        </w:rPr>
        <w:t>бюджету наведена у додатку  1</w:t>
      </w:r>
      <w:r w:rsidRPr="00CA1284">
        <w:rPr>
          <w:rFonts w:ascii="Times New Roman" w:hAnsi="Times New Roman" w:cs="Times New Roman"/>
          <w:sz w:val="28"/>
          <w:szCs w:val="28"/>
          <w:lang w:eastAsia="en-US"/>
        </w:rPr>
        <w:t xml:space="preserve"> до Прогнозу.</w:t>
      </w:r>
    </w:p>
    <w:p w:rsidR="002B0B80" w:rsidRPr="00C4604E" w:rsidRDefault="002B0B80" w:rsidP="002D0F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04E">
        <w:rPr>
          <w:rFonts w:ascii="Times New Roman" w:hAnsi="Times New Roman" w:cs="Times New Roman"/>
          <w:b/>
          <w:sz w:val="28"/>
          <w:szCs w:val="28"/>
        </w:rPr>
        <w:t>ІV. Показники доходів бюджету</w:t>
      </w:r>
    </w:p>
    <w:p w:rsidR="002B0B80" w:rsidRPr="00C4604E" w:rsidRDefault="002B0B80" w:rsidP="002D0F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ab/>
        <w:t xml:space="preserve">Загальний </w:t>
      </w:r>
      <w:r>
        <w:rPr>
          <w:rFonts w:ascii="Times New Roman" w:hAnsi="Times New Roman" w:cs="Times New Roman"/>
          <w:sz w:val="28"/>
          <w:szCs w:val="28"/>
        </w:rPr>
        <w:t>обсяг прогнозних показників дохі</w:t>
      </w:r>
      <w:r w:rsidRPr="00C4604E">
        <w:rPr>
          <w:rFonts w:ascii="Times New Roman" w:hAnsi="Times New Roman" w:cs="Times New Roman"/>
          <w:sz w:val="28"/>
          <w:szCs w:val="28"/>
        </w:rPr>
        <w:t>дної частини бюджету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4E">
        <w:rPr>
          <w:rFonts w:ascii="Times New Roman" w:hAnsi="Times New Roman" w:cs="Times New Roman"/>
          <w:sz w:val="28"/>
          <w:szCs w:val="28"/>
        </w:rPr>
        <w:t>територіальної громади: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>– на 202</w:t>
      </w:r>
      <w:r w:rsidRPr="00563DF0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рік складає </w:t>
      </w:r>
      <w:r>
        <w:rPr>
          <w:rFonts w:ascii="Times New Roman" w:hAnsi="Times New Roman" w:cs="Times New Roman"/>
          <w:sz w:val="28"/>
          <w:szCs w:val="28"/>
          <w:lang w:val="ru-RU"/>
        </w:rPr>
        <w:t>345 020 900</w:t>
      </w:r>
      <w:r w:rsidRPr="00C4604E">
        <w:rPr>
          <w:rFonts w:ascii="Times New Roman" w:hAnsi="Times New Roman" w:cs="Times New Roman"/>
          <w:sz w:val="28"/>
          <w:szCs w:val="28"/>
        </w:rPr>
        <w:t>,00 грн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604E">
        <w:rPr>
          <w:rFonts w:ascii="Times New Roman" w:hAnsi="Times New Roman" w:cs="Times New Roman"/>
          <w:sz w:val="28"/>
          <w:szCs w:val="28"/>
        </w:rPr>
        <w:t>;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202</w:t>
      </w:r>
      <w:r w:rsidRPr="00563DF0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рік складає </w:t>
      </w:r>
      <w:r>
        <w:rPr>
          <w:rFonts w:ascii="Times New Roman" w:hAnsi="Times New Roman" w:cs="Times New Roman"/>
          <w:sz w:val="28"/>
          <w:szCs w:val="28"/>
          <w:lang w:val="ru-RU"/>
        </w:rPr>
        <w:t>353 658 900</w:t>
      </w:r>
      <w:r w:rsidRPr="00C4604E">
        <w:rPr>
          <w:rFonts w:ascii="Times New Roman" w:hAnsi="Times New Roman" w:cs="Times New Roman"/>
          <w:sz w:val="28"/>
          <w:szCs w:val="28"/>
        </w:rPr>
        <w:t>,00 грн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604E">
        <w:rPr>
          <w:rFonts w:ascii="Times New Roman" w:hAnsi="Times New Roman" w:cs="Times New Roman"/>
          <w:sz w:val="28"/>
          <w:szCs w:val="28"/>
        </w:rPr>
        <w:t>;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202</w:t>
      </w:r>
      <w:r w:rsidRPr="00715D78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рік складає </w:t>
      </w:r>
      <w:r>
        <w:rPr>
          <w:rFonts w:ascii="Times New Roman" w:hAnsi="Times New Roman" w:cs="Times New Roman"/>
          <w:sz w:val="28"/>
          <w:szCs w:val="28"/>
          <w:lang w:val="ru-RU"/>
        </w:rPr>
        <w:t>399 808 200</w:t>
      </w:r>
      <w:r w:rsidRPr="00C4604E">
        <w:rPr>
          <w:rFonts w:ascii="Times New Roman" w:hAnsi="Times New Roman" w:cs="Times New Roman"/>
          <w:sz w:val="28"/>
          <w:szCs w:val="28"/>
        </w:rPr>
        <w:t>,00 грн.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ab/>
        <w:t>Трансферти з державного бюджету на 202</w:t>
      </w:r>
      <w:r w:rsidRPr="00715D7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4604E">
        <w:rPr>
          <w:rFonts w:ascii="Times New Roman" w:hAnsi="Times New Roman" w:cs="Times New Roman"/>
          <w:sz w:val="28"/>
          <w:szCs w:val="28"/>
        </w:rPr>
        <w:t xml:space="preserve"> рік визначені в обсязі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114 083</w:t>
      </w:r>
      <w:r w:rsidRPr="00C4604E">
        <w:rPr>
          <w:rFonts w:ascii="Times New Roman" w:hAnsi="Times New Roman" w:cs="Times New Roman"/>
          <w:sz w:val="28"/>
          <w:szCs w:val="28"/>
        </w:rPr>
        <w:t xml:space="preserve"> 400,00 грн</w:t>
      </w:r>
      <w:r>
        <w:rPr>
          <w:rFonts w:ascii="Times New Roman" w:hAnsi="Times New Roman" w:cs="Times New Roman"/>
          <w:sz w:val="28"/>
          <w:szCs w:val="28"/>
        </w:rPr>
        <w:t>., на 2027</w:t>
      </w:r>
      <w:r w:rsidRPr="00C4604E">
        <w:rPr>
          <w:rFonts w:ascii="Times New Roman" w:hAnsi="Times New Roman" w:cs="Times New Roman"/>
          <w:sz w:val="28"/>
          <w:szCs w:val="28"/>
        </w:rPr>
        <w:t xml:space="preserve"> рік прогнозується у сумі </w:t>
      </w:r>
      <w:r>
        <w:rPr>
          <w:rFonts w:ascii="Times New Roman" w:hAnsi="Times New Roman" w:cs="Times New Roman"/>
          <w:sz w:val="28"/>
          <w:szCs w:val="28"/>
        </w:rPr>
        <w:t>120 528 900</w:t>
      </w:r>
      <w:r w:rsidRPr="00C4604E">
        <w:rPr>
          <w:rFonts w:ascii="Times New Roman" w:hAnsi="Times New Roman" w:cs="Times New Roman"/>
          <w:sz w:val="28"/>
          <w:szCs w:val="28"/>
        </w:rPr>
        <w:t>,00 грн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604E">
        <w:rPr>
          <w:rFonts w:ascii="Times New Roman" w:hAnsi="Times New Roman" w:cs="Times New Roman"/>
          <w:sz w:val="28"/>
          <w:szCs w:val="28"/>
        </w:rPr>
        <w:t>, на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C4604E">
        <w:rPr>
          <w:rFonts w:ascii="Times New Roman" w:hAnsi="Times New Roman" w:cs="Times New Roman"/>
          <w:sz w:val="28"/>
          <w:szCs w:val="28"/>
        </w:rPr>
        <w:t xml:space="preserve"> рік – </w:t>
      </w:r>
      <w:r>
        <w:rPr>
          <w:rFonts w:ascii="Times New Roman" w:hAnsi="Times New Roman" w:cs="Times New Roman"/>
          <w:sz w:val="28"/>
          <w:szCs w:val="28"/>
        </w:rPr>
        <w:t>163 840 000</w:t>
      </w:r>
      <w:r w:rsidRPr="00C4604E">
        <w:rPr>
          <w:rFonts w:ascii="Times New Roman" w:hAnsi="Times New Roman" w:cs="Times New Roman"/>
          <w:sz w:val="28"/>
          <w:szCs w:val="28"/>
        </w:rPr>
        <w:t>,00 грн.</w:t>
      </w:r>
    </w:p>
    <w:p w:rsidR="002B0B80" w:rsidRPr="005A2747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ab/>
      </w:r>
      <w:r w:rsidRPr="005A2747">
        <w:rPr>
          <w:rFonts w:ascii="Times New Roman" w:hAnsi="Times New Roman" w:cs="Times New Roman"/>
          <w:sz w:val="28"/>
          <w:szCs w:val="28"/>
        </w:rPr>
        <w:t xml:space="preserve">Трансферти з бюджету </w:t>
      </w:r>
      <w:proofErr w:type="spellStart"/>
      <w:r w:rsidRPr="005A2747">
        <w:rPr>
          <w:rFonts w:ascii="Times New Roman" w:hAnsi="Times New Roman" w:cs="Times New Roman"/>
          <w:sz w:val="28"/>
          <w:szCs w:val="28"/>
        </w:rPr>
        <w:t>Розвадівської</w:t>
      </w:r>
      <w:proofErr w:type="spellEnd"/>
      <w:r w:rsidRPr="005A2747">
        <w:rPr>
          <w:rFonts w:ascii="Times New Roman" w:hAnsi="Times New Roman" w:cs="Times New Roman"/>
          <w:sz w:val="28"/>
          <w:szCs w:val="28"/>
        </w:rPr>
        <w:t xml:space="preserve"> ТГ на 2026рік визначені в обсязі</w:t>
      </w:r>
    </w:p>
    <w:p w:rsidR="002B0B80" w:rsidRPr="005A2747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2747">
        <w:rPr>
          <w:rFonts w:ascii="Times New Roman" w:hAnsi="Times New Roman" w:cs="Times New Roman"/>
          <w:sz w:val="28"/>
          <w:szCs w:val="28"/>
        </w:rPr>
        <w:t>260 000,00 грн., на 2027 рік прогнозується у сумі 278 500,00 грн., на 2028 рік</w:t>
      </w:r>
    </w:p>
    <w:p w:rsidR="002B0B80" w:rsidRPr="005A2747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2747">
        <w:rPr>
          <w:rFonts w:ascii="Times New Roman" w:hAnsi="Times New Roman" w:cs="Times New Roman"/>
          <w:sz w:val="28"/>
          <w:szCs w:val="28"/>
        </w:rPr>
        <w:t>– 293 300,00 грн.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ab/>
        <w:t>Обсяг доходів загального фонду без урахування трансфертів на: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604E">
        <w:rPr>
          <w:rFonts w:ascii="Times New Roman" w:hAnsi="Times New Roman" w:cs="Times New Roman"/>
          <w:sz w:val="28"/>
          <w:szCs w:val="28"/>
        </w:rPr>
        <w:t xml:space="preserve"> рік складає </w:t>
      </w:r>
      <w:r>
        <w:rPr>
          <w:rFonts w:ascii="Times New Roman" w:hAnsi="Times New Roman" w:cs="Times New Roman"/>
          <w:sz w:val="28"/>
          <w:szCs w:val="28"/>
        </w:rPr>
        <w:t>218 458 400</w:t>
      </w:r>
      <w:r w:rsidRPr="00C4604E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Pr="00C4604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4604E">
        <w:rPr>
          <w:rFonts w:ascii="Times New Roman" w:hAnsi="Times New Roman" w:cs="Times New Roman"/>
          <w:sz w:val="28"/>
          <w:szCs w:val="28"/>
        </w:rPr>
        <w:t>;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604E">
        <w:rPr>
          <w:rFonts w:ascii="Times New Roman" w:hAnsi="Times New Roman" w:cs="Times New Roman"/>
          <w:sz w:val="28"/>
          <w:szCs w:val="28"/>
        </w:rPr>
        <w:t xml:space="preserve"> рік складає </w:t>
      </w:r>
      <w:r>
        <w:rPr>
          <w:rFonts w:ascii="Times New Roman" w:hAnsi="Times New Roman" w:cs="Times New Roman"/>
          <w:sz w:val="28"/>
          <w:szCs w:val="28"/>
        </w:rPr>
        <w:t>228 870 000,</w:t>
      </w:r>
      <w:r w:rsidRPr="00C4604E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C4604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4604E">
        <w:rPr>
          <w:rFonts w:ascii="Times New Roman" w:hAnsi="Times New Roman" w:cs="Times New Roman"/>
          <w:sz w:val="28"/>
          <w:szCs w:val="28"/>
        </w:rPr>
        <w:t>;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2028 рік складає 231 534 300</w:t>
      </w:r>
      <w:r w:rsidRPr="00C4604E">
        <w:rPr>
          <w:rFonts w:ascii="Times New Roman" w:hAnsi="Times New Roman" w:cs="Times New Roman"/>
          <w:sz w:val="28"/>
          <w:szCs w:val="28"/>
        </w:rPr>
        <w:t>,00 грн.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ab/>
        <w:t>Найбільшу питому вагу у власних доходах загального фонду займають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>податок та збір на доходи фізичних осіб, податок на майно та єдиний податок.</w:t>
      </w:r>
    </w:p>
    <w:p w:rsidR="002B0B80" w:rsidRPr="00C4604E" w:rsidRDefault="002B0B80" w:rsidP="00EB2A5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0B80" w:rsidRPr="0051460F" w:rsidRDefault="002B0B80" w:rsidP="00EB2A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60F">
        <w:rPr>
          <w:rFonts w:ascii="Times New Roman" w:hAnsi="Times New Roman" w:cs="Times New Roman"/>
          <w:b/>
          <w:sz w:val="28"/>
          <w:szCs w:val="28"/>
        </w:rPr>
        <w:t>Доходи загального фонду (без урахування трансфертів)</w:t>
      </w:r>
    </w:p>
    <w:p w:rsidR="002B0B80" w:rsidRPr="00C4604E" w:rsidRDefault="002B0B80" w:rsidP="00EB2A5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>грн.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966"/>
        <w:gridCol w:w="2174"/>
        <w:gridCol w:w="2340"/>
      </w:tblGrid>
      <w:tr w:rsidR="002B0B80" w:rsidRPr="00914E13" w:rsidTr="00177326">
        <w:tc>
          <w:tcPr>
            <w:tcW w:w="3528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1966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1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174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1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340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2028 </w:t>
            </w:r>
            <w:r w:rsidRPr="00914E13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</w:tc>
      </w:tr>
      <w:tr w:rsidR="002B0B80" w:rsidRPr="00914E13" w:rsidTr="00177326">
        <w:tc>
          <w:tcPr>
            <w:tcW w:w="3528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 фонд, у т.ч.</w:t>
            </w:r>
          </w:p>
        </w:tc>
        <w:tc>
          <w:tcPr>
            <w:tcW w:w="1966" w:type="dxa"/>
          </w:tcPr>
          <w:p w:rsidR="002B0B80" w:rsidRPr="00C427B0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0">
              <w:rPr>
                <w:rFonts w:ascii="Times New Roman" w:hAnsi="Times New Roman" w:cs="Times New Roman"/>
                <w:b/>
                <w:sz w:val="28"/>
                <w:szCs w:val="28"/>
              </w:rPr>
              <w:t>218 458 400,00</w:t>
            </w:r>
          </w:p>
        </w:tc>
        <w:tc>
          <w:tcPr>
            <w:tcW w:w="2174" w:type="dxa"/>
          </w:tcPr>
          <w:p w:rsidR="002B0B80" w:rsidRPr="00C427B0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0">
              <w:rPr>
                <w:rFonts w:ascii="Times New Roman" w:hAnsi="Times New Roman" w:cs="Times New Roman"/>
                <w:b/>
                <w:sz w:val="28"/>
                <w:szCs w:val="28"/>
              </w:rPr>
              <w:t>228 870 000,00</w:t>
            </w:r>
          </w:p>
        </w:tc>
        <w:tc>
          <w:tcPr>
            <w:tcW w:w="2340" w:type="dxa"/>
          </w:tcPr>
          <w:p w:rsidR="002B0B80" w:rsidRPr="00C427B0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0">
              <w:rPr>
                <w:rFonts w:ascii="Times New Roman" w:hAnsi="Times New Roman" w:cs="Times New Roman"/>
                <w:b/>
                <w:sz w:val="28"/>
                <w:szCs w:val="28"/>
              </w:rPr>
              <w:t>231 534 300,00</w:t>
            </w:r>
          </w:p>
        </w:tc>
      </w:tr>
      <w:tr w:rsidR="002B0B80" w:rsidRPr="00914E13" w:rsidTr="00177326">
        <w:tc>
          <w:tcPr>
            <w:tcW w:w="3528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Податок та збір на доходи</w:t>
            </w:r>
          </w:p>
          <w:p w:rsidR="002B0B80" w:rsidRPr="00914E13" w:rsidRDefault="002B0B80" w:rsidP="00177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фізичних осіб</w:t>
            </w:r>
          </w:p>
        </w:tc>
        <w:tc>
          <w:tcPr>
            <w:tcW w:w="1966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142 073 000,00</w:t>
            </w:r>
          </w:p>
        </w:tc>
        <w:tc>
          <w:tcPr>
            <w:tcW w:w="2174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150 480 200,00</w:t>
            </w:r>
          </w:p>
        </w:tc>
        <w:tc>
          <w:tcPr>
            <w:tcW w:w="2340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158 429 000,00</w:t>
            </w:r>
          </w:p>
        </w:tc>
      </w:tr>
      <w:tr w:rsidR="002B0B80" w:rsidRPr="00914E13" w:rsidTr="00177326">
        <w:tc>
          <w:tcPr>
            <w:tcW w:w="3528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i/>
                <w:sz w:val="28"/>
                <w:szCs w:val="28"/>
              </w:rPr>
              <w:t>Питома вага, %</w:t>
            </w:r>
          </w:p>
        </w:tc>
        <w:tc>
          <w:tcPr>
            <w:tcW w:w="1966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65,0</w:t>
            </w:r>
          </w:p>
        </w:tc>
        <w:tc>
          <w:tcPr>
            <w:tcW w:w="2174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65,7</w:t>
            </w:r>
          </w:p>
        </w:tc>
        <w:tc>
          <w:tcPr>
            <w:tcW w:w="2340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68,4</w:t>
            </w:r>
          </w:p>
        </w:tc>
      </w:tr>
      <w:tr w:rsidR="002B0B80" w:rsidRPr="00914E13" w:rsidTr="00177326">
        <w:tc>
          <w:tcPr>
            <w:tcW w:w="3528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Податок на майно</w:t>
            </w:r>
          </w:p>
        </w:tc>
        <w:tc>
          <w:tcPr>
            <w:tcW w:w="1966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22 425 000,00</w:t>
            </w:r>
          </w:p>
        </w:tc>
        <w:tc>
          <w:tcPr>
            <w:tcW w:w="2174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23 811 700,00</w:t>
            </w:r>
          </w:p>
        </w:tc>
        <w:tc>
          <w:tcPr>
            <w:tcW w:w="2340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24 257 100,00</w:t>
            </w:r>
          </w:p>
        </w:tc>
      </w:tr>
      <w:tr w:rsidR="002B0B80" w:rsidRPr="00914E13" w:rsidTr="00177326">
        <w:tc>
          <w:tcPr>
            <w:tcW w:w="3528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i/>
                <w:sz w:val="28"/>
                <w:szCs w:val="28"/>
              </w:rPr>
              <w:t>Питома вага, %</w:t>
            </w:r>
          </w:p>
        </w:tc>
        <w:tc>
          <w:tcPr>
            <w:tcW w:w="1966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10,3</w:t>
            </w:r>
          </w:p>
        </w:tc>
        <w:tc>
          <w:tcPr>
            <w:tcW w:w="2174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10,4</w:t>
            </w:r>
          </w:p>
        </w:tc>
        <w:tc>
          <w:tcPr>
            <w:tcW w:w="2340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10,5</w:t>
            </w:r>
          </w:p>
        </w:tc>
      </w:tr>
      <w:tr w:rsidR="002B0B80" w:rsidRPr="00914E13" w:rsidTr="00177326">
        <w:tc>
          <w:tcPr>
            <w:tcW w:w="3528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Єдиний податок</w:t>
            </w:r>
          </w:p>
        </w:tc>
        <w:tc>
          <w:tcPr>
            <w:tcW w:w="1966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41 377 900,00</w:t>
            </w:r>
          </w:p>
        </w:tc>
        <w:tc>
          <w:tcPr>
            <w:tcW w:w="2174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43 960 200,00</w:t>
            </w:r>
          </w:p>
        </w:tc>
        <w:tc>
          <w:tcPr>
            <w:tcW w:w="2340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37 641 400,00</w:t>
            </w:r>
          </w:p>
        </w:tc>
      </w:tr>
      <w:tr w:rsidR="002B0B80" w:rsidRPr="00914E13" w:rsidTr="00177326">
        <w:tc>
          <w:tcPr>
            <w:tcW w:w="3528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i/>
                <w:sz w:val="28"/>
                <w:szCs w:val="28"/>
              </w:rPr>
              <w:t>Питома вага, %</w:t>
            </w:r>
          </w:p>
        </w:tc>
        <w:tc>
          <w:tcPr>
            <w:tcW w:w="1966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18,9</w:t>
            </w:r>
          </w:p>
        </w:tc>
        <w:tc>
          <w:tcPr>
            <w:tcW w:w="2174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19,2</w:t>
            </w:r>
          </w:p>
        </w:tc>
        <w:tc>
          <w:tcPr>
            <w:tcW w:w="2340" w:type="dxa"/>
          </w:tcPr>
          <w:p w:rsidR="002B0B80" w:rsidRPr="00914E13" w:rsidRDefault="002B0B80" w:rsidP="00177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16,3</w:t>
            </w:r>
          </w:p>
        </w:tc>
      </w:tr>
    </w:tbl>
    <w:p w:rsidR="002B0B80" w:rsidRPr="00C4604E" w:rsidRDefault="002B0B80" w:rsidP="005D2D9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ab/>
        <w:t>Відповідно до норм Податкового кодексу України основним показником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>для розрахунку прогнозних надходжень податку та збору на доходи фізичних</w:t>
      </w:r>
    </w:p>
    <w:p w:rsidR="002B0B80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>осіб є фонд оплати праці найманих працівників та грошового забезпечення</w:t>
      </w:r>
    </w:p>
    <w:p w:rsidR="002B0B80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604E">
        <w:rPr>
          <w:rFonts w:ascii="Times New Roman" w:hAnsi="Times New Roman" w:cs="Times New Roman"/>
          <w:sz w:val="28"/>
          <w:szCs w:val="28"/>
        </w:rPr>
        <w:t>ійськовослужбовців.</w:t>
      </w:r>
    </w:p>
    <w:p w:rsidR="002B0B80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ab/>
        <w:t>Розрахунок прогнозу надходжень податку на доходи фізичних осіб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604E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604E">
        <w:rPr>
          <w:rFonts w:ascii="Times New Roman" w:hAnsi="Times New Roman" w:cs="Times New Roman"/>
          <w:sz w:val="28"/>
          <w:szCs w:val="28"/>
        </w:rPr>
        <w:t xml:space="preserve"> роки здійснено з урахуванням очікуваного обсягу фонду оплати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>праці, рівня середньої заробітної плати, збільшення мінімальної заробітної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>плати, а також наявної бази та ставок оподаткування доходів фізичних осіб і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>змін до податкового законодавства.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ab/>
        <w:t>Основні чинники, які вплинуть на надходження податку на доходи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04E">
        <w:rPr>
          <w:rFonts w:ascii="Times New Roman" w:hAnsi="Times New Roman" w:cs="Times New Roman"/>
          <w:sz w:val="28"/>
          <w:szCs w:val="28"/>
        </w:rPr>
        <w:t>фізичних осіб:</w:t>
      </w:r>
    </w:p>
    <w:p w:rsidR="002B0B80" w:rsidRPr="00E0419D" w:rsidRDefault="002B0B80" w:rsidP="00EB2A5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19D">
        <w:rPr>
          <w:rFonts w:ascii="Times New Roman" w:hAnsi="Times New Roman" w:cs="Times New Roman"/>
          <w:sz w:val="28"/>
          <w:szCs w:val="28"/>
        </w:rPr>
        <w:t>збільшення мінімальної заробітної плати (з 1 січня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419D">
        <w:rPr>
          <w:rFonts w:ascii="Times New Roman" w:hAnsi="Times New Roman" w:cs="Times New Roman"/>
          <w:sz w:val="28"/>
          <w:szCs w:val="28"/>
        </w:rPr>
        <w:t xml:space="preserve"> року – </w:t>
      </w:r>
      <w:r>
        <w:rPr>
          <w:rFonts w:ascii="Times New Roman" w:hAnsi="Times New Roman" w:cs="Times New Roman"/>
          <w:sz w:val="28"/>
          <w:szCs w:val="28"/>
        </w:rPr>
        <w:t>8 688</w:t>
      </w:r>
      <w:r w:rsidRPr="00E0419D">
        <w:rPr>
          <w:rFonts w:ascii="Times New Roman" w:hAnsi="Times New Roman" w:cs="Times New Roman"/>
          <w:sz w:val="28"/>
          <w:szCs w:val="28"/>
        </w:rPr>
        <w:t>,0 грн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419D">
        <w:rPr>
          <w:rFonts w:ascii="Times New Roman" w:hAnsi="Times New Roman" w:cs="Times New Roman"/>
          <w:sz w:val="28"/>
          <w:szCs w:val="28"/>
        </w:rPr>
        <w:t>, з 1 січня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419D">
        <w:rPr>
          <w:rFonts w:ascii="Times New Roman" w:hAnsi="Times New Roman" w:cs="Times New Roman"/>
          <w:sz w:val="28"/>
          <w:szCs w:val="28"/>
        </w:rPr>
        <w:t xml:space="preserve"> року – </w:t>
      </w:r>
      <w:r>
        <w:rPr>
          <w:rFonts w:ascii="Times New Roman" w:hAnsi="Times New Roman" w:cs="Times New Roman"/>
          <w:sz w:val="28"/>
          <w:szCs w:val="28"/>
        </w:rPr>
        <w:t>9 374</w:t>
      </w:r>
      <w:r w:rsidRPr="00E0419D">
        <w:rPr>
          <w:rFonts w:ascii="Times New Roman" w:hAnsi="Times New Roman" w:cs="Times New Roman"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., з 1 січня 2028</w:t>
      </w:r>
      <w:r w:rsidRPr="00E0419D">
        <w:rPr>
          <w:rFonts w:ascii="Times New Roman" w:hAnsi="Times New Roman" w:cs="Times New Roman"/>
          <w:sz w:val="28"/>
          <w:szCs w:val="28"/>
        </w:rPr>
        <w:t xml:space="preserve"> року – </w:t>
      </w:r>
      <w:r>
        <w:rPr>
          <w:rFonts w:ascii="Times New Roman" w:hAnsi="Times New Roman" w:cs="Times New Roman"/>
          <w:sz w:val="28"/>
          <w:szCs w:val="28"/>
        </w:rPr>
        <w:t>10 059</w:t>
      </w:r>
      <w:r w:rsidRPr="00E0419D">
        <w:rPr>
          <w:rFonts w:ascii="Times New Roman" w:hAnsi="Times New Roman" w:cs="Times New Roman"/>
          <w:sz w:val="28"/>
          <w:szCs w:val="28"/>
        </w:rPr>
        <w:t>,0 грн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419D">
        <w:rPr>
          <w:rFonts w:ascii="Times New Roman" w:hAnsi="Times New Roman" w:cs="Times New Roman"/>
          <w:sz w:val="28"/>
          <w:szCs w:val="28"/>
        </w:rPr>
        <w:t>);</w:t>
      </w:r>
    </w:p>
    <w:p w:rsidR="002B0B80" w:rsidRPr="00E0419D" w:rsidRDefault="002B0B80" w:rsidP="00EB2A5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19D">
        <w:rPr>
          <w:rFonts w:ascii="Times New Roman" w:hAnsi="Times New Roman" w:cs="Times New Roman"/>
          <w:sz w:val="28"/>
          <w:szCs w:val="28"/>
        </w:rPr>
        <w:t>зниження податкового навантаження на громадян за рахунок надання податкової соціальної пільги на рівні 50% прожиткового мінімуму для</w:t>
      </w:r>
    </w:p>
    <w:p w:rsidR="002B0B80" w:rsidRPr="00E0419D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19D">
        <w:rPr>
          <w:rFonts w:ascii="Times New Roman" w:hAnsi="Times New Roman" w:cs="Times New Roman"/>
          <w:sz w:val="28"/>
          <w:szCs w:val="28"/>
        </w:rPr>
        <w:t>працездатних осіб для будь-якого платника податку за умови, що дохід не перевищує 1,4 прожиткового мінімуму для працездатних осіб;</w:t>
      </w:r>
    </w:p>
    <w:p w:rsidR="002B0B80" w:rsidRPr="00E0419D" w:rsidRDefault="002B0B80" w:rsidP="00EB2A5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19D">
        <w:rPr>
          <w:rFonts w:ascii="Times New Roman" w:hAnsi="Times New Roman" w:cs="Times New Roman"/>
          <w:sz w:val="28"/>
          <w:szCs w:val="28"/>
        </w:rPr>
        <w:t>легалізація виплати заробітної плати та інше.</w:t>
      </w:r>
    </w:p>
    <w:p w:rsidR="002B0B80" w:rsidRPr="00E0419D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19D">
        <w:rPr>
          <w:rFonts w:ascii="Times New Roman" w:hAnsi="Times New Roman" w:cs="Times New Roman"/>
          <w:sz w:val="28"/>
          <w:szCs w:val="28"/>
        </w:rPr>
        <w:tab/>
        <w:t>Прогнозні показники спеціального фонду міського бюджету (без</w:t>
      </w:r>
    </w:p>
    <w:p w:rsidR="002B0B80" w:rsidRPr="00E0419D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19D">
        <w:rPr>
          <w:rFonts w:ascii="Times New Roman" w:hAnsi="Times New Roman" w:cs="Times New Roman"/>
          <w:sz w:val="28"/>
          <w:szCs w:val="28"/>
        </w:rPr>
        <w:t>урахування міжбюджетних трансфертів) складають на:</w:t>
      </w:r>
    </w:p>
    <w:p w:rsidR="002B0B80" w:rsidRPr="00E0419D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19D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0419D">
        <w:rPr>
          <w:rFonts w:ascii="Times New Roman" w:hAnsi="Times New Roman" w:cs="Times New Roman"/>
          <w:sz w:val="28"/>
          <w:szCs w:val="28"/>
        </w:rPr>
        <w:t xml:space="preserve">рік у сумі </w:t>
      </w:r>
      <w:r>
        <w:rPr>
          <w:rFonts w:ascii="Times New Roman" w:hAnsi="Times New Roman" w:cs="Times New Roman"/>
          <w:sz w:val="28"/>
          <w:szCs w:val="28"/>
        </w:rPr>
        <w:t>12 219 100</w:t>
      </w:r>
      <w:r w:rsidRPr="00E0419D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19D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419D">
        <w:rPr>
          <w:rFonts w:ascii="Times New Roman" w:hAnsi="Times New Roman" w:cs="Times New Roman"/>
          <w:sz w:val="28"/>
          <w:szCs w:val="28"/>
        </w:rPr>
        <w:t>;</w:t>
      </w:r>
    </w:p>
    <w:p w:rsidR="002B0B80" w:rsidRPr="00E0419D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2027</w:t>
      </w:r>
      <w:r w:rsidRPr="00E0419D">
        <w:rPr>
          <w:rFonts w:ascii="Times New Roman" w:hAnsi="Times New Roman" w:cs="Times New Roman"/>
          <w:sz w:val="28"/>
          <w:szCs w:val="28"/>
        </w:rPr>
        <w:t xml:space="preserve"> рік у сумі </w:t>
      </w:r>
      <w:r>
        <w:rPr>
          <w:rFonts w:ascii="Times New Roman" w:hAnsi="Times New Roman" w:cs="Times New Roman"/>
          <w:sz w:val="28"/>
          <w:szCs w:val="28"/>
        </w:rPr>
        <w:t>3 981 500</w:t>
      </w:r>
      <w:r w:rsidRPr="00E0419D">
        <w:rPr>
          <w:rFonts w:ascii="Times New Roman" w:hAnsi="Times New Roman" w:cs="Times New Roman"/>
          <w:sz w:val="28"/>
          <w:szCs w:val="28"/>
        </w:rPr>
        <w:t>,00 грн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419D">
        <w:rPr>
          <w:rFonts w:ascii="Times New Roman" w:hAnsi="Times New Roman" w:cs="Times New Roman"/>
          <w:sz w:val="28"/>
          <w:szCs w:val="28"/>
        </w:rPr>
        <w:t>;</w:t>
      </w:r>
    </w:p>
    <w:p w:rsidR="002B0B80" w:rsidRPr="00C4604E" w:rsidRDefault="002B0B80" w:rsidP="00EB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2028 рік у сумі 4 140 600</w:t>
      </w:r>
      <w:bookmarkStart w:id="1" w:name="_GoBack"/>
      <w:bookmarkEnd w:id="1"/>
      <w:r w:rsidRPr="00E0419D">
        <w:rPr>
          <w:rFonts w:ascii="Times New Roman" w:hAnsi="Times New Roman" w:cs="Times New Roman"/>
          <w:sz w:val="28"/>
          <w:szCs w:val="28"/>
        </w:rPr>
        <w:t>,00 грн.</w:t>
      </w:r>
    </w:p>
    <w:p w:rsidR="002B0B80" w:rsidRDefault="002B0B80" w:rsidP="00EB2A5B"/>
    <w:p w:rsidR="002B0B80" w:rsidRPr="00CA1284" w:rsidRDefault="002B0B80" w:rsidP="002D0F1D">
      <w:pPr>
        <w:spacing w:before="60" w:after="60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A1284">
        <w:rPr>
          <w:rFonts w:ascii="Times New Roman" w:hAnsi="Times New Roman" w:cs="Times New Roman"/>
          <w:b/>
          <w:sz w:val="28"/>
          <w:szCs w:val="28"/>
        </w:rPr>
        <w:t xml:space="preserve">. Показники фінансування бюджету, показники місцевого боргу, показники надання місцевих гарантій, обсягу </w:t>
      </w:r>
      <w:proofErr w:type="gramStart"/>
      <w:r w:rsidRPr="00CA1284">
        <w:rPr>
          <w:rFonts w:ascii="Times New Roman" w:hAnsi="Times New Roman" w:cs="Times New Roman"/>
          <w:b/>
          <w:sz w:val="28"/>
          <w:szCs w:val="28"/>
        </w:rPr>
        <w:t>гарантійних  зобов’язань</w:t>
      </w:r>
      <w:proofErr w:type="gramEnd"/>
      <w:r w:rsidRPr="00CA1284">
        <w:rPr>
          <w:rFonts w:ascii="Times New Roman" w:hAnsi="Times New Roman" w:cs="Times New Roman"/>
          <w:b/>
          <w:sz w:val="28"/>
          <w:szCs w:val="28"/>
        </w:rPr>
        <w:t xml:space="preserve"> та гарантованого Автономною Республікою Крим, обласною радою, міською, селищною чи сільською територіальною громадою боргу</w:t>
      </w:r>
    </w:p>
    <w:p w:rsidR="002B0B80" w:rsidRPr="00CA1284" w:rsidRDefault="002B0B80" w:rsidP="00F04869">
      <w:pPr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284">
        <w:rPr>
          <w:rFonts w:ascii="Times New Roman" w:hAnsi="Times New Roman" w:cs="Times New Roman"/>
          <w:sz w:val="28"/>
          <w:szCs w:val="28"/>
        </w:rPr>
        <w:t>До показників фінансування міського бюджету відносяться кошти передані із загального фонду міського бюджету до бюджету розвитку спеціального фонду, при цьому:</w:t>
      </w:r>
    </w:p>
    <w:p w:rsidR="002B0B80" w:rsidRPr="00CA1284" w:rsidRDefault="002B0B80" w:rsidP="0090523C">
      <w:pPr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CA1284">
        <w:rPr>
          <w:rFonts w:ascii="Times New Roman" w:hAnsi="Times New Roman" w:cs="Times New Roman"/>
          <w:sz w:val="28"/>
          <w:szCs w:val="28"/>
        </w:rPr>
        <w:t>на 2026 рік – не планується передача коштів із загального фонду до спеціального фонду;</w:t>
      </w:r>
    </w:p>
    <w:p w:rsidR="002B0B80" w:rsidRPr="00CA1284" w:rsidRDefault="002B0B80" w:rsidP="0090523C">
      <w:pPr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CA1284">
        <w:rPr>
          <w:rFonts w:ascii="Times New Roman" w:hAnsi="Times New Roman" w:cs="Times New Roman"/>
          <w:sz w:val="28"/>
          <w:szCs w:val="28"/>
        </w:rPr>
        <w:t xml:space="preserve"> на 2027 рік – 2 000 000,00 </w:t>
      </w:r>
      <w:proofErr w:type="spellStart"/>
      <w:r w:rsidRPr="00CA128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A1284">
        <w:rPr>
          <w:rFonts w:ascii="Times New Roman" w:hAnsi="Times New Roman" w:cs="Times New Roman"/>
          <w:sz w:val="28"/>
          <w:szCs w:val="28"/>
        </w:rPr>
        <w:t>;</w:t>
      </w:r>
    </w:p>
    <w:p w:rsidR="002B0B80" w:rsidRPr="00CA1284" w:rsidRDefault="002B0B80" w:rsidP="0090523C">
      <w:pPr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CA1284">
        <w:rPr>
          <w:rFonts w:ascii="Times New Roman" w:hAnsi="Times New Roman" w:cs="Times New Roman"/>
          <w:sz w:val="28"/>
          <w:szCs w:val="28"/>
        </w:rPr>
        <w:t xml:space="preserve"> на 2028 рік – 20 000 000,00 грн. (ріст 3 295 900,00 грн.</w:t>
      </w:r>
    </w:p>
    <w:p w:rsidR="002B0B80" w:rsidRPr="00CA1284" w:rsidRDefault="002B0B80" w:rsidP="00DC3170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1284">
        <w:rPr>
          <w:rFonts w:ascii="Times New Roman" w:hAnsi="Times New Roman" w:cs="Times New Roman"/>
          <w:sz w:val="28"/>
          <w:szCs w:val="28"/>
          <w:lang w:eastAsia="en-US"/>
        </w:rPr>
        <w:t>Інформація щодо показників фінансування бюджету наведена у додатку  3 до Прогнозу.</w:t>
      </w:r>
    </w:p>
    <w:p w:rsidR="002B0B80" w:rsidRDefault="002B0B80" w:rsidP="00DC317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Оскільки міський бюджет у продовж минулих бюджетних періодів не здійснював внутрішніх та зовнішніх запозичень, а також не надавав місцевих гарантій у  додатках </w:t>
      </w:r>
      <w:r w:rsidRPr="00A8211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2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відсутні дані.</w:t>
      </w:r>
    </w:p>
    <w:p w:rsidR="002B0B80" w:rsidRPr="00A82118" w:rsidRDefault="002B0B80" w:rsidP="00DC317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2B0B80" w:rsidRPr="00124ADF" w:rsidRDefault="002B0B80" w:rsidP="002D0F1D">
      <w:pPr>
        <w:spacing w:before="60" w:after="60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A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4ADF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124ADF">
        <w:rPr>
          <w:rFonts w:ascii="Times New Roman" w:hAnsi="Times New Roman" w:cs="Times New Roman"/>
          <w:b/>
          <w:sz w:val="28"/>
          <w:szCs w:val="28"/>
        </w:rPr>
        <w:t xml:space="preserve"> Показники видатків бюджету та надання кредитів з бюджету</w:t>
      </w:r>
    </w:p>
    <w:p w:rsidR="002B0B80" w:rsidRDefault="002B0B80" w:rsidP="00895CA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:rsidR="002B0B80" w:rsidRDefault="002B0B80" w:rsidP="00895CA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895CA4">
        <w:rPr>
          <w:sz w:val="28"/>
          <w:szCs w:val="28"/>
        </w:rPr>
        <w:t>Ключовими завданнями бюджетної політики</w:t>
      </w:r>
      <w:r>
        <w:rPr>
          <w:sz w:val="28"/>
          <w:szCs w:val="28"/>
        </w:rPr>
        <w:t xml:space="preserve"> при середньостроковому  плануванні</w:t>
      </w:r>
      <w:r w:rsidRPr="00895CA4">
        <w:rPr>
          <w:sz w:val="28"/>
          <w:szCs w:val="28"/>
        </w:rPr>
        <w:t xml:space="preserve"> </w:t>
      </w:r>
      <w:r>
        <w:rPr>
          <w:sz w:val="28"/>
          <w:szCs w:val="28"/>
        </w:rPr>
        <w:t>видатків</w:t>
      </w:r>
      <w:r w:rsidRPr="00895CA4">
        <w:rPr>
          <w:sz w:val="28"/>
          <w:szCs w:val="28"/>
        </w:rPr>
        <w:t xml:space="preserve"> на рівні громади </w:t>
      </w:r>
      <w:r w:rsidRPr="006D135C">
        <w:rPr>
          <w:sz w:val="28"/>
          <w:szCs w:val="28"/>
        </w:rPr>
        <w:t>залишатиметься забезпечення стабільності</w:t>
      </w:r>
      <w:r>
        <w:rPr>
          <w:sz w:val="28"/>
          <w:szCs w:val="28"/>
        </w:rPr>
        <w:t xml:space="preserve"> та</w:t>
      </w:r>
      <w:r w:rsidRPr="006D135C">
        <w:rPr>
          <w:sz w:val="28"/>
          <w:szCs w:val="28"/>
        </w:rPr>
        <w:t xml:space="preserve"> збалансованості </w:t>
      </w:r>
      <w:r>
        <w:rPr>
          <w:sz w:val="28"/>
          <w:szCs w:val="28"/>
        </w:rPr>
        <w:t>міського бюджету,</w:t>
      </w:r>
      <w:r w:rsidRPr="00895CA4">
        <w:rPr>
          <w:sz w:val="28"/>
          <w:szCs w:val="28"/>
        </w:rPr>
        <w:t xml:space="preserve"> ефективне використання фінансового ресурсу та забезпечення надання якісних послуг.</w:t>
      </w:r>
    </w:p>
    <w:p w:rsidR="002B0B80" w:rsidRPr="005561AB" w:rsidRDefault="002B0B80" w:rsidP="005561AB">
      <w:pPr>
        <w:pStyle w:val="ae"/>
        <w:ind w:left="0" w:firstLine="540"/>
        <w:jc w:val="both"/>
        <w:rPr>
          <w:sz w:val="28"/>
          <w:szCs w:val="28"/>
          <w:lang w:eastAsia="uk-UA"/>
        </w:rPr>
      </w:pPr>
      <w:r w:rsidRPr="005561AB">
        <w:rPr>
          <w:sz w:val="28"/>
          <w:szCs w:val="28"/>
          <w:lang w:eastAsia="uk-UA"/>
        </w:rPr>
        <w:t xml:space="preserve">Особливістю бюджетування на плановий та середньостроковий період є публічні інвестиції, Зокрема, відтепер доступ до фінансового забезпечення підготовки та реалізації відповідних проектів можуть мати лише публічні інвестиційні </w:t>
      </w:r>
      <w:proofErr w:type="spellStart"/>
      <w:r w:rsidRPr="005561AB">
        <w:rPr>
          <w:sz w:val="28"/>
          <w:szCs w:val="28"/>
          <w:lang w:eastAsia="uk-UA"/>
        </w:rPr>
        <w:t>проєкти</w:t>
      </w:r>
      <w:proofErr w:type="spellEnd"/>
      <w:r w:rsidRPr="005561AB">
        <w:rPr>
          <w:sz w:val="28"/>
          <w:szCs w:val="28"/>
          <w:lang w:eastAsia="uk-UA"/>
        </w:rPr>
        <w:t xml:space="preserve"> та програми публічних інвестицій, які пройшли оцінку, </w:t>
      </w:r>
      <w:proofErr w:type="spellStart"/>
      <w:r w:rsidRPr="005561AB">
        <w:rPr>
          <w:sz w:val="28"/>
          <w:szCs w:val="28"/>
          <w:lang w:eastAsia="uk-UA"/>
        </w:rPr>
        <w:t>пріоритезацію</w:t>
      </w:r>
      <w:proofErr w:type="spellEnd"/>
      <w:r w:rsidRPr="005561AB">
        <w:rPr>
          <w:sz w:val="28"/>
          <w:szCs w:val="28"/>
          <w:lang w:eastAsia="uk-UA"/>
        </w:rPr>
        <w:t xml:space="preserve"> та відбір за встановленими процедурами і включені до єдиного </w:t>
      </w:r>
      <w:proofErr w:type="spellStart"/>
      <w:r w:rsidRPr="005561AB">
        <w:rPr>
          <w:sz w:val="28"/>
          <w:szCs w:val="28"/>
          <w:lang w:eastAsia="uk-UA"/>
        </w:rPr>
        <w:t>проєктного</w:t>
      </w:r>
      <w:proofErr w:type="spellEnd"/>
      <w:r w:rsidRPr="005561AB">
        <w:rPr>
          <w:sz w:val="28"/>
          <w:szCs w:val="28"/>
          <w:lang w:eastAsia="uk-UA"/>
        </w:rPr>
        <w:t xml:space="preserve"> портфеля публічних інвестицій.</w:t>
      </w:r>
    </w:p>
    <w:p w:rsidR="002B0B80" w:rsidRPr="005561AB" w:rsidRDefault="002B0B80" w:rsidP="005561AB">
      <w:pPr>
        <w:pStyle w:val="ae"/>
        <w:ind w:left="0" w:firstLine="540"/>
        <w:jc w:val="both"/>
        <w:rPr>
          <w:sz w:val="28"/>
          <w:szCs w:val="28"/>
          <w:lang w:eastAsia="uk-UA"/>
        </w:rPr>
      </w:pPr>
      <w:r w:rsidRPr="005561AB">
        <w:rPr>
          <w:sz w:val="28"/>
          <w:szCs w:val="28"/>
          <w:lang w:eastAsia="uk-UA"/>
        </w:rPr>
        <w:t>Справедливий розподіл бюджетних коштів та їх ефективне використання можливі лише за чіткого розуміння гендерних аспектів (особливостей умов життя та потреб жінок, чоловіків та/або їх груп) та їх врахування під час планування та виконання бюджетних програм.</w:t>
      </w:r>
    </w:p>
    <w:p w:rsidR="002B0B80" w:rsidRDefault="002B0B80" w:rsidP="005561AB">
      <w:pPr>
        <w:pStyle w:val="ae"/>
        <w:ind w:left="0" w:firstLine="540"/>
        <w:jc w:val="both"/>
        <w:rPr>
          <w:sz w:val="28"/>
          <w:szCs w:val="28"/>
          <w:lang w:eastAsia="uk-UA"/>
        </w:rPr>
      </w:pPr>
      <w:r w:rsidRPr="005561AB">
        <w:rPr>
          <w:sz w:val="28"/>
          <w:szCs w:val="28"/>
          <w:lang w:eastAsia="uk-UA"/>
        </w:rPr>
        <w:t>Прогнозні показники видатків міського бюджету сформовані на підставі поданих головними розпорядниками коштів бюджетних пропозицій. У першу чергу, під час формування видаткової частини  прогнозу міського бюджету враховано статтю 77 Бюджетного кодексу України щодо забезпечення потреби в коштах на заробітну плату, енергоносії та інші захищені видатки.</w:t>
      </w:r>
    </w:p>
    <w:p w:rsidR="002B0B80" w:rsidRPr="005561AB" w:rsidRDefault="002B0B80" w:rsidP="005561AB">
      <w:pPr>
        <w:pStyle w:val="ae"/>
        <w:ind w:left="0" w:firstLine="540"/>
        <w:jc w:val="both"/>
        <w:rPr>
          <w:sz w:val="28"/>
          <w:szCs w:val="28"/>
          <w:lang w:eastAsia="uk-UA"/>
        </w:rPr>
      </w:pPr>
    </w:p>
    <w:p w:rsidR="002B0B80" w:rsidRPr="002B41E5" w:rsidRDefault="002B0B80" w:rsidP="00B51D6F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Граничні показники видатків міського бюджету становлять:  </w:t>
      </w:r>
    </w:p>
    <w:p w:rsidR="002B0B80" w:rsidRPr="002B41E5" w:rsidRDefault="002B0B80" w:rsidP="00B51D6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на 2026 рік у сумі 345 020 900,00 </w:t>
      </w:r>
      <w:proofErr w:type="spellStart"/>
      <w:r w:rsidRPr="002B41E5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Default="002B0B80" w:rsidP="00B51D6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332 801 800,00 </w:t>
      </w:r>
      <w:proofErr w:type="spellStart"/>
      <w:r w:rsidRPr="002B41E5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12 219 100,00 </w:t>
      </w:r>
      <w:proofErr w:type="spellStart"/>
      <w:r w:rsidRPr="002B41E5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;  </w:t>
      </w:r>
    </w:p>
    <w:p w:rsidR="002B0B80" w:rsidRPr="002B41E5" w:rsidRDefault="002B0B80" w:rsidP="00B51D6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на 2027 рік у сумі 347 658 900,00 </w:t>
      </w:r>
      <w:proofErr w:type="spellStart"/>
      <w:r w:rsidRPr="002B41E5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Default="002B0B80" w:rsidP="00B51D6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347 677 400,00 </w:t>
      </w:r>
      <w:proofErr w:type="spellStart"/>
      <w:r w:rsidRPr="002B41E5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5 981 500,00 </w:t>
      </w:r>
      <w:proofErr w:type="spellStart"/>
      <w:r w:rsidRPr="002B41E5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2B0B80" w:rsidRPr="002B41E5" w:rsidRDefault="002B0B80" w:rsidP="00B51D6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на 2028 рік у сумі 399 808 100,00 </w:t>
      </w:r>
      <w:proofErr w:type="spellStart"/>
      <w:r w:rsidRPr="002B41E5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фонду – 375 667 500,00 </w:t>
      </w:r>
      <w:proofErr w:type="spellStart"/>
      <w:r w:rsidRPr="002B41E5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 24 140 600,00 грн.  </w:t>
      </w:r>
    </w:p>
    <w:p w:rsidR="002B0B80" w:rsidRPr="002B41E5" w:rsidRDefault="002B0B80" w:rsidP="00B51D6F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41E5">
        <w:rPr>
          <w:rFonts w:ascii="Times New Roman" w:hAnsi="Times New Roman" w:cs="Times New Roman"/>
          <w:sz w:val="28"/>
          <w:szCs w:val="28"/>
          <w:lang w:eastAsia="en-US"/>
        </w:rPr>
        <w:t xml:space="preserve">Інформація щодо показників видаткової частини міського бюджету на середньостроковий період в розрізі головних розпорядників коштів наведена у додатку  6 до Прогнозу. </w:t>
      </w:r>
    </w:p>
    <w:p w:rsidR="002B0B80" w:rsidRPr="00D3097B" w:rsidRDefault="002B0B80" w:rsidP="00AE2FA5">
      <w:pPr>
        <w:spacing w:line="259" w:lineRule="auto"/>
        <w:ind w:left="708"/>
        <w:jc w:val="both"/>
        <w:rPr>
          <w:rFonts w:ascii="Times New Roman" w:hAnsi="Times New Roman" w:cs="Times New Roman"/>
          <w:color w:val="800000"/>
          <w:sz w:val="28"/>
          <w:szCs w:val="28"/>
          <w:lang w:eastAsia="en-US"/>
        </w:rPr>
      </w:pPr>
      <w:r w:rsidRPr="00D3097B">
        <w:rPr>
          <w:rFonts w:ascii="Times New Roman" w:hAnsi="Times New Roman" w:cs="Times New Roman"/>
          <w:color w:val="800000"/>
          <w:sz w:val="28"/>
          <w:szCs w:val="28"/>
          <w:lang w:eastAsia="en-US"/>
        </w:rPr>
        <w:t xml:space="preserve"> </w:t>
      </w:r>
    </w:p>
    <w:p w:rsidR="002B0B80" w:rsidRPr="00310A87" w:rsidRDefault="002B0B80" w:rsidP="0047310C">
      <w:pPr>
        <w:ind w:left="146" w:firstLine="5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Граничні показники видатків міського бюджету для головного розпорядника  коштів </w:t>
      </w:r>
      <w:r w:rsidRPr="00310A8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Виконавчого комітету </w:t>
      </w:r>
      <w:proofErr w:type="spellStart"/>
      <w:r w:rsidRPr="00310A87">
        <w:rPr>
          <w:rFonts w:ascii="Times New Roman" w:hAnsi="Times New Roman" w:cs="Times New Roman"/>
          <w:b/>
          <w:sz w:val="28"/>
          <w:szCs w:val="28"/>
          <w:lang w:eastAsia="en-US"/>
        </w:rPr>
        <w:t>Новороздільської</w:t>
      </w:r>
      <w:proofErr w:type="spellEnd"/>
      <w:r w:rsidRPr="00310A8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міської ради становлять:  </w:t>
      </w:r>
    </w:p>
    <w:p w:rsidR="002B0B80" w:rsidRPr="00310A87" w:rsidRDefault="002B0B80" w:rsidP="0047310C">
      <w:pPr>
        <w:ind w:left="7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на 2026 рік у сумі 38 741 700,00 </w:t>
      </w:r>
      <w:proofErr w:type="spellStart"/>
      <w:r w:rsidRPr="00310A87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310A87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38 741 700,00 грн.; </w:t>
      </w:r>
    </w:p>
    <w:p w:rsidR="002B0B80" w:rsidRPr="00310A87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 на 2027 рік у сумі 38 817 200,00 </w:t>
      </w:r>
      <w:proofErr w:type="spellStart"/>
      <w:r w:rsidRPr="00310A87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310A87" w:rsidRDefault="002B0B80" w:rsidP="0047310C">
      <w:pPr>
        <w:ind w:left="15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38 817 200,00 грн.;  </w:t>
      </w:r>
    </w:p>
    <w:p w:rsidR="002B0B80" w:rsidRPr="00310A87" w:rsidRDefault="002B0B80" w:rsidP="0047310C">
      <w:pPr>
        <w:ind w:left="7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на 2028 рік у сумі  39 144 100,00 </w:t>
      </w:r>
      <w:proofErr w:type="spellStart"/>
      <w:r w:rsidRPr="00310A87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310A87" w:rsidRDefault="002B0B80" w:rsidP="0047310C">
      <w:pPr>
        <w:ind w:left="15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39 144 100,00 </w:t>
      </w:r>
      <w:proofErr w:type="spellStart"/>
      <w:r w:rsidRPr="00310A87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500 000,00 грн.  </w:t>
      </w:r>
    </w:p>
    <w:p w:rsidR="002B0B80" w:rsidRDefault="002B0B80" w:rsidP="00310A87">
      <w:pPr>
        <w:spacing w:line="259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Основними цілями державної політики на місцевому рівні Виконавчого комітету </w:t>
      </w:r>
      <w:proofErr w:type="spellStart"/>
      <w:r w:rsidRPr="00310A87">
        <w:rPr>
          <w:rFonts w:ascii="Times New Roman" w:hAnsi="Times New Roman" w:cs="Times New Roman"/>
          <w:sz w:val="28"/>
          <w:szCs w:val="28"/>
          <w:lang w:eastAsia="en-US"/>
        </w:rPr>
        <w:t>Новороздільської</w:t>
      </w:r>
      <w:proofErr w:type="spellEnd"/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 міської ради є забезпечення належного життя </w:t>
      </w:r>
      <w:r w:rsidRPr="00310A8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мешканців та мешканок громади;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підвищення рівня взаємодії влади і громадян, </w:t>
      </w:r>
      <w:r w:rsidRPr="00310A87">
        <w:rPr>
          <w:rFonts w:ascii="Times New Roman" w:hAnsi="Times New Roman" w:cs="Times New Roman"/>
          <w:sz w:val="28"/>
          <w:szCs w:val="28"/>
          <w:lang w:eastAsia="en-US"/>
        </w:rPr>
        <w:t xml:space="preserve">виконання регіональних і місцевих програм соціально-економічного розвитку; </w:t>
      </w:r>
    </w:p>
    <w:p w:rsidR="002B0B80" w:rsidRDefault="002B0B80" w:rsidP="00310A87">
      <w:pPr>
        <w:spacing w:line="259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0B80" w:rsidRPr="00310A87" w:rsidRDefault="002B0B80" w:rsidP="00310A87">
      <w:pPr>
        <w:spacing w:line="259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0A87">
        <w:rPr>
          <w:rFonts w:ascii="Times New Roman" w:hAnsi="Times New Roman" w:cs="Times New Roman"/>
          <w:sz w:val="28"/>
          <w:szCs w:val="28"/>
          <w:lang w:eastAsia="en-US"/>
        </w:rPr>
        <w:t>організація заходів, спрямованих на покращення інвестиційного та інноваційного клімату громади; взаємодія з іншими органами місцевого самоврядування; забезпечення взаємодії з громадськими організаціями; задоволення потреби населення громади в інформації; сприяння фізичному, духовному розвитку дітей, запобігання дитячій бездоглядності та профілактика правопорушень серед дітей; реалізація наданих державою, а також делегованих повноважень; забезпечення напрямів регуляторної політики громади та адміністративних послуг.</w:t>
      </w:r>
    </w:p>
    <w:p w:rsidR="002B0B80" w:rsidRPr="00E33AA2" w:rsidRDefault="002B0B80" w:rsidP="0047310C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Граничні показники видатків міського бюджету для головного розпорядника коштів  </w:t>
      </w:r>
      <w:r w:rsidRPr="00E33A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Відділу освіти </w:t>
      </w:r>
      <w:proofErr w:type="spellStart"/>
      <w:r w:rsidRPr="00E33AA2">
        <w:rPr>
          <w:rFonts w:ascii="Times New Roman" w:hAnsi="Times New Roman" w:cs="Times New Roman"/>
          <w:b/>
          <w:sz w:val="28"/>
          <w:szCs w:val="28"/>
          <w:lang w:eastAsia="en-US"/>
        </w:rPr>
        <w:t>Новороздільської</w:t>
      </w:r>
      <w:proofErr w:type="spellEnd"/>
      <w:r w:rsidRPr="00E33A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міської ради</w:t>
      </w: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 становлять:</w:t>
      </w:r>
    </w:p>
    <w:p w:rsidR="002B0B80" w:rsidRPr="00E33AA2" w:rsidRDefault="002B0B80" w:rsidP="0047310C">
      <w:pPr>
        <w:ind w:left="7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на 2026 рік у сумі 209 097 400,00 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E33AA2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202 284 000,00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6 813 400,00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;  </w:t>
      </w:r>
    </w:p>
    <w:p w:rsidR="002B0B80" w:rsidRPr="00E33AA2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на 2027 рік у сумі 218 847 000,00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E33AA2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215 031 000,00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-  3 816 000,00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;  </w:t>
      </w:r>
    </w:p>
    <w:p w:rsidR="002B0B80" w:rsidRPr="00E33AA2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на 2028 рік у сумі  238 534 800,00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E33AA2" w:rsidRDefault="002B0B80" w:rsidP="0047310C">
      <w:pPr>
        <w:ind w:left="15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231 657 000,00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6 877 800,00 грн.  </w:t>
      </w:r>
    </w:p>
    <w:p w:rsidR="002B0B80" w:rsidRPr="00E33AA2" w:rsidRDefault="002B0B80" w:rsidP="0047310C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Основними цілями державної політики на місцевому рівні відділу освіти є забезпечення доступної, якісної, безпечної та інклюзивної освіти для учасників та учасниць освітнього процесу. Підтримка   сталого функціонування та  розвитку установ, що перебувають у підпорядкуванні відділу освіти. </w:t>
      </w:r>
    </w:p>
    <w:p w:rsidR="002B0B80" w:rsidRPr="00E33AA2" w:rsidRDefault="002B0B80" w:rsidP="0047310C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 Тому у 2026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3AA2"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2028 роках передбачено виконання таких основних напрямів: покращення функціонування закладів освіти для надання якісних освітніх послуг, підвищення безпеки та комфортності освітнього середовища, реалізацію реформи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“Нова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 українська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школа”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співфінансування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>), покращення надання інклюзивної освіти, розвиток здібностей дітей у позашкільній освіті, удосконалення системи управління, підвищення кваліфікації педагогічних працівників,</w:t>
      </w:r>
    </w:p>
    <w:p w:rsidR="002B0B80" w:rsidRPr="00E33AA2" w:rsidRDefault="002B0B80" w:rsidP="0047310C">
      <w:pPr>
        <w:spacing w:line="259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B0B80" w:rsidRPr="00E33AA2" w:rsidRDefault="002B0B80" w:rsidP="0047310C">
      <w:pPr>
        <w:spacing w:after="4" w:line="269" w:lineRule="auto"/>
        <w:ind w:left="127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Граничні показники видатків міського бюджету  для головного розпорядника  коштів  </w:t>
      </w:r>
      <w:r w:rsidRPr="00E33A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Управління соціального захисту населення </w:t>
      </w:r>
      <w:proofErr w:type="spellStart"/>
      <w:r w:rsidRPr="00E33AA2">
        <w:rPr>
          <w:rFonts w:ascii="Times New Roman" w:hAnsi="Times New Roman" w:cs="Times New Roman"/>
          <w:b/>
          <w:sz w:val="28"/>
          <w:szCs w:val="28"/>
          <w:lang w:eastAsia="en-US"/>
        </w:rPr>
        <w:t>Новороздільської</w:t>
      </w:r>
      <w:proofErr w:type="spellEnd"/>
      <w:r w:rsidRPr="00E33A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міської ради </w:t>
      </w: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становлять:  </w:t>
      </w:r>
    </w:p>
    <w:p w:rsidR="002B0B80" w:rsidRPr="00E33AA2" w:rsidRDefault="002B0B80" w:rsidP="0047310C">
      <w:pPr>
        <w:ind w:left="7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на 2026 рік у сумі 19 904 000,000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E33AA2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19 854 000,00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50 000,00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;  </w:t>
      </w:r>
    </w:p>
    <w:p w:rsidR="002B0B80" w:rsidRPr="00E33AA2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на 2027 рік у сумі 20 408 600,00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E33AA2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20 354 800,00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53 800,00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;  </w:t>
      </w:r>
    </w:p>
    <w:p w:rsidR="002B0B80" w:rsidRPr="00E33AA2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на 2028 рік у сумі 21 014 800,00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E33AA2" w:rsidRDefault="002B0B80" w:rsidP="0047310C">
      <w:pPr>
        <w:ind w:left="15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20 957 200,00 </w:t>
      </w:r>
      <w:proofErr w:type="spellStart"/>
      <w:r w:rsidRPr="00E33AA2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57 600,00грн.  </w:t>
      </w:r>
    </w:p>
    <w:p w:rsidR="002B0B80" w:rsidRDefault="002B0B80" w:rsidP="0047310C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 xml:space="preserve">Основними цілями державної політики на місцевому рівні Управління праці та соціального захисту населення є забезпечення соціальної підтримки та надання соціальних послуг вразливим верствам населення, зокрема особам </w:t>
      </w:r>
      <w:r w:rsidRPr="00E33AA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похилого віку, з інвалідністю, ветеранам війни та учасникам бойовий дій, громадянам які постраждали внаслідок Чорнобильської катастрофи, сім’ям та </w:t>
      </w:r>
    </w:p>
    <w:p w:rsidR="002B0B80" w:rsidRPr="00D3097B" w:rsidRDefault="002B0B80" w:rsidP="0047310C">
      <w:pPr>
        <w:ind w:left="146" w:firstLine="566"/>
        <w:jc w:val="both"/>
        <w:rPr>
          <w:rFonts w:ascii="Times New Roman" w:hAnsi="Times New Roman" w:cs="Times New Roman"/>
          <w:color w:val="800000"/>
          <w:sz w:val="28"/>
          <w:szCs w:val="28"/>
          <w:lang w:eastAsia="en-US"/>
        </w:rPr>
      </w:pPr>
      <w:r w:rsidRPr="00E33AA2">
        <w:rPr>
          <w:rFonts w:ascii="Times New Roman" w:hAnsi="Times New Roman" w:cs="Times New Roman"/>
          <w:sz w:val="28"/>
          <w:szCs w:val="28"/>
          <w:lang w:eastAsia="en-US"/>
        </w:rPr>
        <w:t>особам, які перебувають у складних життєвих обставинах, малозабезпеченим внутрішньо переміщеним особам, іншим категоріям осіб, які згідно із законодавством України мають право на пільги, сім’ям та дітям; сприяння запобіганню та протидії домашнього насильства; створення належних умов для інтеграції та повноцінної участі в житті суспільства дітей з інвалідністю; забезпечення рівних прав і можливостей жінок і чоловіків; посилення рівня соціального захисту населення громади.</w:t>
      </w:r>
      <w:r w:rsidRPr="00D3097B">
        <w:rPr>
          <w:rFonts w:ascii="Times New Roman" w:hAnsi="Times New Roman" w:cs="Times New Roman"/>
          <w:color w:val="800000"/>
          <w:sz w:val="28"/>
          <w:szCs w:val="28"/>
          <w:lang w:eastAsia="en-US"/>
        </w:rPr>
        <w:t xml:space="preserve">  </w:t>
      </w:r>
    </w:p>
    <w:p w:rsidR="002B0B80" w:rsidRPr="00D3097B" w:rsidRDefault="002B0B80" w:rsidP="0047310C">
      <w:pPr>
        <w:spacing w:line="259" w:lineRule="auto"/>
        <w:ind w:left="708"/>
        <w:jc w:val="both"/>
        <w:rPr>
          <w:rFonts w:ascii="Times New Roman" w:hAnsi="Times New Roman" w:cs="Times New Roman"/>
          <w:color w:val="800000"/>
          <w:sz w:val="28"/>
          <w:szCs w:val="28"/>
          <w:lang w:eastAsia="en-US"/>
        </w:rPr>
      </w:pPr>
      <w:r w:rsidRPr="00D3097B">
        <w:rPr>
          <w:rFonts w:ascii="Times New Roman" w:hAnsi="Times New Roman" w:cs="Times New Roman"/>
          <w:color w:val="800000"/>
          <w:sz w:val="28"/>
          <w:szCs w:val="28"/>
          <w:lang w:eastAsia="en-US"/>
        </w:rPr>
        <w:t xml:space="preserve"> </w:t>
      </w:r>
    </w:p>
    <w:p w:rsidR="002B0B80" w:rsidRPr="00276CED" w:rsidRDefault="002B0B80" w:rsidP="0047310C">
      <w:pPr>
        <w:spacing w:after="4" w:line="269" w:lineRule="auto"/>
        <w:ind w:left="127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Граничні показники видатків міського бюджету для головного розпорядника коштів </w:t>
      </w:r>
      <w:r w:rsidRPr="00276C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Управління культури, спорту та гуманітарної політики </w:t>
      </w:r>
      <w:proofErr w:type="spellStart"/>
      <w:r w:rsidRPr="00276CED">
        <w:rPr>
          <w:rFonts w:ascii="Times New Roman" w:hAnsi="Times New Roman" w:cs="Times New Roman"/>
          <w:b/>
          <w:sz w:val="28"/>
          <w:szCs w:val="28"/>
          <w:lang w:eastAsia="en-US"/>
        </w:rPr>
        <w:t>Новороздільської</w:t>
      </w:r>
      <w:proofErr w:type="spellEnd"/>
      <w:r w:rsidRPr="00276C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міської ради</w:t>
      </w:r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 становлять:  </w:t>
      </w:r>
    </w:p>
    <w:p w:rsidR="002B0B80" w:rsidRPr="00276CED" w:rsidRDefault="002B0B80" w:rsidP="0047310C">
      <w:pPr>
        <w:spacing w:after="2" w:line="259" w:lineRule="auto"/>
        <w:ind w:left="10" w:right="-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        на 2026 рік у сумі 45 578 400,00 </w:t>
      </w:r>
      <w:proofErr w:type="spellStart"/>
      <w:r w:rsidRPr="00276CED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276CED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43 400 600,00 </w:t>
      </w:r>
      <w:proofErr w:type="spellStart"/>
      <w:r w:rsidRPr="00276CED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2 177 800,00 </w:t>
      </w:r>
      <w:proofErr w:type="spellStart"/>
      <w:r w:rsidRPr="00276CED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2B0B80" w:rsidRPr="00276CED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 на 2027 рік у сумі 46 666 000,00 </w:t>
      </w:r>
      <w:proofErr w:type="spellStart"/>
      <w:r w:rsidRPr="00276CED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276CED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44 929 600,00 </w:t>
      </w:r>
      <w:proofErr w:type="spellStart"/>
      <w:r w:rsidRPr="00276CED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1 736 400,00 </w:t>
      </w:r>
      <w:proofErr w:type="spellStart"/>
      <w:r w:rsidRPr="00276CED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2B0B80" w:rsidRPr="00276CED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 на 2028 рік у сумі 57 685 500,00 </w:t>
      </w:r>
      <w:proofErr w:type="spellStart"/>
      <w:r w:rsidRPr="00276CED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276CED" w:rsidRDefault="002B0B80" w:rsidP="0047310C">
      <w:pPr>
        <w:ind w:left="15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47 561 600,00 </w:t>
      </w:r>
      <w:proofErr w:type="spellStart"/>
      <w:r w:rsidRPr="00276CED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276CED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10 123 900,00 грн.  </w:t>
      </w:r>
    </w:p>
    <w:p w:rsidR="002B0B80" w:rsidRPr="00276CED" w:rsidRDefault="002B0B80" w:rsidP="00A43923">
      <w:pPr>
        <w:pStyle w:val="ae"/>
        <w:spacing w:before="193"/>
        <w:ind w:left="0" w:right="230" w:firstLine="708"/>
        <w:jc w:val="both"/>
        <w:rPr>
          <w:sz w:val="28"/>
          <w:szCs w:val="28"/>
        </w:rPr>
      </w:pPr>
      <w:r w:rsidRPr="00276CED">
        <w:rPr>
          <w:sz w:val="28"/>
          <w:szCs w:val="28"/>
        </w:rPr>
        <w:t>Основними цілями державної політики на місцевому рівні Управління культури, спорту та гуманітарної політики є створення сприятливих умов для розвитку і самореалізації української молоді, формування її громадянської позиції та національно-патріотичної свідомості; захист і збереження культурної спадщини, гарантування прав громадян у сфері культури, задоволення культурних потреб; створення умов для творчого розвитку особистості, підвищення культурного рівня, естетичного виховання громадян, доступності освіти у сфері культури для дітей та юнацтва;  формування здорового способу життя, досягнення фізичної та духовної досконалості людини, створення умов для гармонійного виховання, фізичного розвитку, набуття навичок здорового способу життя, формування патріотичних почуттів у громадян; проведення фізично-оздоровчих та спортивних заходів серед населення, організація оздоровлення дітей, які потребують особливої соціальної  уваги та підтримки, забезпечення діяльності мережі закладів культури та утримання в належному стані існуючої мережі спортивних споруд. А також забезпечення сприятливих умов для надання медичних послуг,  в тому числі оплату комунальних послуг та енергоносіїв установ охорони здоров’я; забезпечення лікарськими засобами (технічними) та іншими засобами пільгової категорії населення (осіб з інвалідністю);  поліпшення здоров’я населення, забезпечення рівного і справедливого доступу всіх членів громади до медичних послуг належної якості.</w:t>
      </w:r>
    </w:p>
    <w:p w:rsidR="002B0B80" w:rsidRPr="00276CED" w:rsidRDefault="002B0B80" w:rsidP="00A43923">
      <w:pPr>
        <w:pStyle w:val="ae"/>
        <w:spacing w:before="193"/>
        <w:ind w:left="0" w:right="230" w:firstLine="708"/>
        <w:jc w:val="both"/>
        <w:rPr>
          <w:sz w:val="28"/>
          <w:szCs w:val="28"/>
        </w:rPr>
      </w:pPr>
    </w:p>
    <w:p w:rsidR="002B0B80" w:rsidRPr="007D1268" w:rsidRDefault="002B0B80" w:rsidP="0047310C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Граничні показники видатків міського бюджету для головного розпорядника коштів  </w:t>
      </w:r>
      <w:r w:rsidRPr="007D12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Управління житлово-комунального господарства </w:t>
      </w:r>
      <w:proofErr w:type="spellStart"/>
      <w:r w:rsidRPr="007D1268">
        <w:rPr>
          <w:rFonts w:ascii="Times New Roman" w:hAnsi="Times New Roman" w:cs="Times New Roman"/>
          <w:b/>
          <w:sz w:val="28"/>
          <w:szCs w:val="28"/>
          <w:lang w:eastAsia="en-US"/>
        </w:rPr>
        <w:t>Новороздільської</w:t>
      </w:r>
      <w:proofErr w:type="spellEnd"/>
      <w:r w:rsidRPr="007D12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міської ради</w:t>
      </w:r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 становлять: </w:t>
      </w:r>
    </w:p>
    <w:p w:rsidR="002B0B80" w:rsidRPr="007D1268" w:rsidRDefault="002B0B80" w:rsidP="0047310C">
      <w:pPr>
        <w:spacing w:after="2" w:line="259" w:lineRule="auto"/>
        <w:ind w:left="10" w:right="-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126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на 2026 рік у сумі 26 461 800,00 </w:t>
      </w:r>
      <w:proofErr w:type="spellStart"/>
      <w:r w:rsidRPr="007D1268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0B80" w:rsidRPr="007D1268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23 283 900,00 </w:t>
      </w:r>
      <w:proofErr w:type="spellStart"/>
      <w:r w:rsidRPr="007D1268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3 177 900,00 </w:t>
      </w:r>
      <w:proofErr w:type="spellStart"/>
      <w:r w:rsidRPr="007D1268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;   </w:t>
      </w:r>
    </w:p>
    <w:p w:rsidR="002B0B80" w:rsidRPr="007D1268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на 2027 рік у сумі 23 659 200,00 </w:t>
      </w:r>
      <w:proofErr w:type="spellStart"/>
      <w:r w:rsidRPr="007D1268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7D1268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 23 283 900,00 </w:t>
      </w:r>
      <w:proofErr w:type="spellStart"/>
      <w:r w:rsidRPr="007D1268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375 300,00 </w:t>
      </w:r>
      <w:proofErr w:type="spellStart"/>
      <w:r w:rsidRPr="007D1268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;  </w:t>
      </w:r>
    </w:p>
    <w:p w:rsidR="002B0B80" w:rsidRPr="007D1268" w:rsidRDefault="002B0B80" w:rsidP="0047310C">
      <w:pPr>
        <w:ind w:left="712" w:hanging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 на 2028 рік у сумі 38 047 700,00 </w:t>
      </w:r>
      <w:proofErr w:type="spellStart"/>
      <w:r w:rsidRPr="007D1268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</w:t>
      </w:r>
    </w:p>
    <w:p w:rsidR="002B0B80" w:rsidRPr="007D1268" w:rsidRDefault="002B0B80" w:rsidP="0047310C">
      <w:pPr>
        <w:ind w:left="15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фонду – 30 966 400,00 </w:t>
      </w:r>
      <w:proofErr w:type="spellStart"/>
      <w:r w:rsidRPr="007D1268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, спеціального фонду – 7 081 300,00 грн. </w:t>
      </w:r>
    </w:p>
    <w:p w:rsidR="002B0B80" w:rsidRPr="007D1268" w:rsidRDefault="002B0B80" w:rsidP="00A43923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1268">
        <w:rPr>
          <w:rFonts w:ascii="Times New Roman" w:hAnsi="Times New Roman" w:cs="Times New Roman"/>
          <w:sz w:val="28"/>
          <w:szCs w:val="28"/>
          <w:lang w:eastAsia="en-US"/>
        </w:rPr>
        <w:t>Основними цілями державної політики на місцевому рівні Управління житлово-комунального господарства є виконання заходів по вирішенню найбільш нагальних проблем і програм, спрямованих на зростання благоустрою  та підвищення рівня комфортності проживання населення у громаді.</w:t>
      </w:r>
    </w:p>
    <w:p w:rsidR="002B0B80" w:rsidRPr="007D1268" w:rsidRDefault="002B0B80" w:rsidP="00A43923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Тому у 2026 -2028 роках передбачено виконання таких основних напрямів:  покращення благоустрою громади  та  інфраструктури  (встановлення нових інфраструктурних об’єктів, оновлення автомобільних доріг, модернізація мереж водопостачання та водовідведення, підвищення доступності  інфраструктури для людей з особливими потребами; забезпечення </w:t>
      </w:r>
      <w:proofErr w:type="spellStart"/>
      <w:r w:rsidRPr="007D1268">
        <w:rPr>
          <w:rFonts w:ascii="Times New Roman" w:hAnsi="Times New Roman" w:cs="Times New Roman"/>
          <w:sz w:val="28"/>
          <w:szCs w:val="28"/>
          <w:lang w:eastAsia="en-US"/>
        </w:rPr>
        <w:t>енергоефективності</w:t>
      </w:r>
      <w:proofErr w:type="spellEnd"/>
      <w:r w:rsidRPr="007D1268">
        <w:rPr>
          <w:rFonts w:ascii="Times New Roman" w:hAnsi="Times New Roman" w:cs="Times New Roman"/>
          <w:sz w:val="28"/>
          <w:szCs w:val="28"/>
          <w:lang w:eastAsia="en-US"/>
        </w:rPr>
        <w:t xml:space="preserve"> та енергетична незалежність; збереження навколишнього середовища. </w:t>
      </w:r>
    </w:p>
    <w:p w:rsidR="002B0B80" w:rsidRPr="00D3097B" w:rsidRDefault="002B0B80" w:rsidP="0047310C">
      <w:pPr>
        <w:spacing w:line="259" w:lineRule="auto"/>
        <w:ind w:left="708"/>
        <w:jc w:val="both"/>
        <w:rPr>
          <w:rFonts w:ascii="Times New Roman" w:hAnsi="Times New Roman" w:cs="Times New Roman"/>
          <w:color w:val="800000"/>
          <w:sz w:val="28"/>
          <w:szCs w:val="28"/>
          <w:lang w:eastAsia="en-US"/>
        </w:rPr>
      </w:pPr>
    </w:p>
    <w:p w:rsidR="002B0B80" w:rsidRPr="00CC5E34" w:rsidRDefault="002B0B80" w:rsidP="0047310C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Граничні показники видатків міського бюджету  для головного розпорядника коштів </w:t>
      </w:r>
      <w:r w:rsidRPr="00CC5E3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Фінансового управління </w:t>
      </w:r>
      <w:proofErr w:type="spellStart"/>
      <w:r w:rsidRPr="00CC5E34">
        <w:rPr>
          <w:rFonts w:ascii="Times New Roman" w:hAnsi="Times New Roman" w:cs="Times New Roman"/>
          <w:b/>
          <w:sz w:val="28"/>
          <w:szCs w:val="28"/>
          <w:lang w:eastAsia="en-US"/>
        </w:rPr>
        <w:t>Новороздільської</w:t>
      </w:r>
      <w:proofErr w:type="spellEnd"/>
      <w:r w:rsidRPr="00CC5E3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міської ради </w:t>
      </w:r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становлять:  </w:t>
      </w:r>
    </w:p>
    <w:p w:rsidR="002B0B80" w:rsidRPr="00CC5E34" w:rsidRDefault="002B0B80" w:rsidP="0047310C">
      <w:pPr>
        <w:spacing w:after="2" w:line="259" w:lineRule="auto"/>
        <w:ind w:left="10" w:right="-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     на 2026 рік у сумі 5 237 600,00 </w:t>
      </w:r>
      <w:proofErr w:type="spellStart"/>
      <w:r w:rsidRPr="00CC5E34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фонду </w:t>
      </w:r>
    </w:p>
    <w:p w:rsidR="002B0B80" w:rsidRPr="00CC5E34" w:rsidRDefault="002B0B80" w:rsidP="0047310C">
      <w:pPr>
        <w:numPr>
          <w:ilvl w:val="0"/>
          <w:numId w:val="9"/>
        </w:numPr>
        <w:spacing w:after="5" w:line="268" w:lineRule="auto"/>
        <w:ind w:hanging="2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5 237 600,00 </w:t>
      </w:r>
      <w:proofErr w:type="spellStart"/>
      <w:r w:rsidRPr="00CC5E34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;  </w:t>
      </w:r>
    </w:p>
    <w:p w:rsidR="002B0B80" w:rsidRPr="00CC5E34" w:rsidRDefault="002B0B80" w:rsidP="003B5757">
      <w:pPr>
        <w:spacing w:after="5" w:line="268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на 2027 рік у сумі 5 260 900,00 </w:t>
      </w:r>
      <w:proofErr w:type="spellStart"/>
      <w:r w:rsidRPr="00CC5E34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фонду </w:t>
      </w:r>
    </w:p>
    <w:p w:rsidR="002B0B80" w:rsidRPr="00CC5E34" w:rsidRDefault="002B0B80" w:rsidP="0047310C">
      <w:pPr>
        <w:numPr>
          <w:ilvl w:val="0"/>
          <w:numId w:val="9"/>
        </w:numPr>
        <w:spacing w:after="5" w:line="268" w:lineRule="auto"/>
        <w:ind w:hanging="2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5 260 900,00 </w:t>
      </w:r>
      <w:proofErr w:type="spellStart"/>
      <w:r w:rsidRPr="00CC5E34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;  </w:t>
      </w:r>
    </w:p>
    <w:p w:rsidR="002B0B80" w:rsidRPr="00CC5E34" w:rsidRDefault="002B0B80" w:rsidP="003B5757">
      <w:pPr>
        <w:spacing w:after="5" w:line="268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на 2028 рік у сумі 5 381 200,00 </w:t>
      </w:r>
      <w:proofErr w:type="spellStart"/>
      <w:r w:rsidRPr="00CC5E34">
        <w:rPr>
          <w:rFonts w:ascii="Times New Roman" w:hAnsi="Times New Roman" w:cs="Times New Roman"/>
          <w:sz w:val="28"/>
          <w:szCs w:val="28"/>
          <w:lang w:eastAsia="en-US"/>
        </w:rPr>
        <w:t>грн</w:t>
      </w:r>
      <w:proofErr w:type="spellEnd"/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, у тому числі видатки загального фонду – 5 381 200,00  грн.  </w:t>
      </w:r>
    </w:p>
    <w:p w:rsidR="002B0B80" w:rsidRPr="00CC5E34" w:rsidRDefault="002B0B80" w:rsidP="000172DB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Основними цілями державної політики на місцевому рівні Фінансового управління є забезпечення фінансової стабільності  та ефективного використання бюджетних коштів для задоволення потреб  громади з урахуванням </w:t>
      </w:r>
      <w:proofErr w:type="spellStart"/>
      <w:r w:rsidRPr="00CC5E34">
        <w:rPr>
          <w:rFonts w:ascii="Times New Roman" w:hAnsi="Times New Roman" w:cs="Times New Roman"/>
          <w:sz w:val="28"/>
          <w:szCs w:val="28"/>
          <w:lang w:eastAsia="en-US"/>
        </w:rPr>
        <w:t>гендерно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- чутливого підходу, а також  підвищення рівня прозорості бюджету.  На середньостроковий період передбачено виконання таких основних завдань: складання прогнозів міського бюджету, складання та виконання міського бюджету, контроль за витрачанням коштів розпорядниками бюджетних коштів; здійснення загальної організації та управління виконанням міського бюджету, координація учасників бюджетного процесу з питань виконання бюджету,  а також інших функцій, пов’язаних з управлінням коштами міського бюджету. </w:t>
      </w:r>
    </w:p>
    <w:p w:rsidR="002B0B80" w:rsidRDefault="002B0B80" w:rsidP="000172DB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5E34">
        <w:rPr>
          <w:rFonts w:ascii="Times New Roman" w:hAnsi="Times New Roman" w:cs="Times New Roman"/>
          <w:sz w:val="28"/>
          <w:szCs w:val="28"/>
          <w:lang w:eastAsia="en-US"/>
        </w:rPr>
        <w:t xml:space="preserve">Інформація щодо показників видаткової частини міського бюджету на середньостроковий період за Типовою програмною класифікацією видатків та кредитування бюджету наведена у додатку 7 до Прогнозу. </w:t>
      </w:r>
    </w:p>
    <w:p w:rsidR="002B0B80" w:rsidRPr="00CC5E34" w:rsidRDefault="002B0B80" w:rsidP="000172DB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Оскільки у минулих бюджетних  періодах кредити не оформлялись у додатку 8 відсутні дані.</w:t>
      </w:r>
    </w:p>
    <w:p w:rsidR="002B0B80" w:rsidRDefault="002B0B80" w:rsidP="000172DB">
      <w:pPr>
        <w:ind w:left="146" w:firstLine="566"/>
        <w:jc w:val="both"/>
        <w:rPr>
          <w:rFonts w:ascii="Times New Roman" w:hAnsi="Times New Roman" w:cs="Times New Roman"/>
          <w:color w:val="8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800000"/>
          <w:sz w:val="28"/>
          <w:szCs w:val="28"/>
          <w:lang w:eastAsia="en-US"/>
        </w:rPr>
        <w:lastRenderedPageBreak/>
        <w:t xml:space="preserve"> </w:t>
      </w:r>
    </w:p>
    <w:p w:rsidR="002B0B80" w:rsidRDefault="002B0B80" w:rsidP="000172DB">
      <w:pPr>
        <w:ind w:left="146" w:firstLine="566"/>
        <w:jc w:val="both"/>
        <w:rPr>
          <w:rFonts w:ascii="Times New Roman" w:hAnsi="Times New Roman" w:cs="Times New Roman"/>
          <w:color w:val="800000"/>
          <w:sz w:val="28"/>
          <w:szCs w:val="28"/>
          <w:lang w:eastAsia="en-US"/>
        </w:rPr>
      </w:pPr>
    </w:p>
    <w:p w:rsidR="002B0B80" w:rsidRDefault="002B0B80" w:rsidP="000172DB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800000"/>
          <w:sz w:val="28"/>
          <w:szCs w:val="28"/>
          <w:lang w:eastAsia="en-US"/>
        </w:rPr>
        <w:t xml:space="preserve"> </w:t>
      </w:r>
      <w:r w:rsidRPr="009F4CE0">
        <w:rPr>
          <w:rFonts w:ascii="Times New Roman" w:hAnsi="Times New Roman" w:cs="Times New Roman"/>
          <w:sz w:val="28"/>
          <w:szCs w:val="28"/>
          <w:lang w:eastAsia="en-US"/>
        </w:rPr>
        <w:t>Важливою складовою фінансової основи відповідного бюджету в контексті середньострокового бюджетного планування на місцевому рівні є врахування  в прогнозі обсягу публічних інвестицій на підготовку та реалізацію публічних інвестиційних проектів та програм публічних інвестицій із зазначенням пріоритетних напрямів.</w:t>
      </w:r>
    </w:p>
    <w:p w:rsidR="002B0B80" w:rsidRDefault="002B0B80" w:rsidP="000172DB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CE0">
        <w:rPr>
          <w:rFonts w:ascii="Times New Roman" w:hAnsi="Times New Roman" w:cs="Times New Roman"/>
          <w:sz w:val="28"/>
          <w:szCs w:val="28"/>
          <w:lang w:eastAsia="en-US"/>
        </w:rPr>
        <w:t>Інформація щодо обсягу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громади наведена у додатку 9 до прогнозу.</w:t>
      </w:r>
    </w:p>
    <w:p w:rsidR="002B0B80" w:rsidRPr="009F4CE0" w:rsidRDefault="002B0B80" w:rsidP="000172DB">
      <w:pPr>
        <w:ind w:left="14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0B80" w:rsidRPr="00B51D6F" w:rsidRDefault="002B0B80" w:rsidP="002D0F1D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B51D6F">
        <w:rPr>
          <w:rFonts w:ascii="Times New Roman" w:hAnsi="Times New Roman" w:cs="Times New Roman"/>
          <w:b/>
          <w:sz w:val="28"/>
          <w:szCs w:val="28"/>
        </w:rPr>
        <w:t>ІІ. Взаємовідносини бюджету з іншими бюджетами</w:t>
      </w:r>
    </w:p>
    <w:p w:rsidR="002B0B80" w:rsidRPr="00B51D6F" w:rsidRDefault="002B0B80" w:rsidP="001042B9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2B0B80" w:rsidRPr="00B51D6F" w:rsidRDefault="002B0B80" w:rsidP="001042B9">
      <w:pPr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D6F">
        <w:rPr>
          <w:rFonts w:ascii="Times New Roman" w:hAnsi="Times New Roman" w:cs="Times New Roman"/>
          <w:sz w:val="28"/>
          <w:szCs w:val="28"/>
        </w:rPr>
        <w:t>У показниках міжбюджетних відносин з інших бюджетів у 2026-2028 роках мають місце:</w:t>
      </w:r>
    </w:p>
    <w:p w:rsidR="002B0B80" w:rsidRPr="00B51D6F" w:rsidRDefault="002B0B80" w:rsidP="001042B9">
      <w:pPr>
        <w:numPr>
          <w:ilvl w:val="0"/>
          <w:numId w:val="4"/>
        </w:num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B51D6F">
        <w:rPr>
          <w:rFonts w:ascii="Times New Roman" w:hAnsi="Times New Roman" w:cs="Times New Roman"/>
          <w:sz w:val="28"/>
          <w:szCs w:val="28"/>
        </w:rPr>
        <w:t>трансферти з державного бюджету (базова дотація та освітня субвенція);</w:t>
      </w:r>
    </w:p>
    <w:p w:rsidR="002B0B80" w:rsidRPr="00B51D6F" w:rsidRDefault="002B0B80" w:rsidP="001042B9">
      <w:pPr>
        <w:numPr>
          <w:ilvl w:val="0"/>
          <w:numId w:val="4"/>
        </w:numPr>
        <w:spacing w:before="60" w:after="6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D6F">
        <w:rPr>
          <w:rFonts w:ascii="Times New Roman" w:hAnsi="Times New Roman" w:cs="Times New Roman"/>
          <w:sz w:val="28"/>
          <w:szCs w:val="28"/>
        </w:rPr>
        <w:t xml:space="preserve">трансферти з місцевих бюджетів (субвенція з </w:t>
      </w:r>
      <w:proofErr w:type="spellStart"/>
      <w:r w:rsidRPr="00B51D6F">
        <w:rPr>
          <w:rFonts w:ascii="Times New Roman" w:hAnsi="Times New Roman" w:cs="Times New Roman"/>
          <w:sz w:val="28"/>
          <w:szCs w:val="28"/>
        </w:rPr>
        <w:t>Розвадівської</w:t>
      </w:r>
      <w:proofErr w:type="spellEnd"/>
      <w:r w:rsidRPr="00B51D6F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на спільне утримання бюджетних установ, які надають послуги мешканцям зазначених громад). </w:t>
      </w:r>
    </w:p>
    <w:p w:rsidR="002B0B80" w:rsidRPr="00B51D6F" w:rsidRDefault="002B0B80" w:rsidP="009C709B">
      <w:pPr>
        <w:spacing w:before="60" w:after="6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D6F">
        <w:rPr>
          <w:rFonts w:ascii="Times New Roman" w:hAnsi="Times New Roman" w:cs="Times New Roman"/>
          <w:sz w:val="28"/>
          <w:szCs w:val="28"/>
        </w:rPr>
        <w:t xml:space="preserve">Трансферти іншим бюджетам з міського бюджету не надаються. </w:t>
      </w:r>
    </w:p>
    <w:p w:rsidR="002B0B80" w:rsidRPr="00B51D6F" w:rsidRDefault="002B0B80" w:rsidP="009C709B">
      <w:pPr>
        <w:ind w:left="146" w:firstLine="2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1D6F">
        <w:rPr>
          <w:rFonts w:ascii="Times New Roman" w:hAnsi="Times New Roman" w:cs="Times New Roman"/>
          <w:sz w:val="28"/>
          <w:szCs w:val="28"/>
          <w:lang w:eastAsia="en-US"/>
        </w:rPr>
        <w:t xml:space="preserve">Інформація щодо показників міжбюджетних трансфертів на середньостроковий період наведена у додатку 10, 11 до Прогнозу. </w:t>
      </w:r>
    </w:p>
    <w:p w:rsidR="002B0B80" w:rsidRPr="00B51D6F" w:rsidRDefault="002B0B80" w:rsidP="001042B9">
      <w:pPr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B80" w:rsidRPr="00D3097B" w:rsidRDefault="002B0B80" w:rsidP="001042B9">
      <w:pPr>
        <w:spacing w:before="60" w:after="60"/>
        <w:ind w:firstLine="540"/>
        <w:jc w:val="both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2B0B80" w:rsidRPr="00A141DF" w:rsidRDefault="002B0B80" w:rsidP="001042B9">
      <w:pPr>
        <w:spacing w:before="60" w:after="6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DF">
        <w:rPr>
          <w:rFonts w:ascii="Times New Roman" w:hAnsi="Times New Roman" w:cs="Times New Roman"/>
          <w:b/>
          <w:sz w:val="28"/>
          <w:szCs w:val="28"/>
        </w:rPr>
        <w:t>ІХ. Інші положення та показники прогнозу бюджету</w:t>
      </w:r>
    </w:p>
    <w:p w:rsidR="002B0B80" w:rsidRPr="00A141DF" w:rsidRDefault="002B0B80" w:rsidP="001042B9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2B0B80" w:rsidRPr="00A141DF" w:rsidRDefault="002B0B80" w:rsidP="00597EB6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41DF">
        <w:rPr>
          <w:rFonts w:ascii="Times New Roman" w:hAnsi="Times New Roman" w:cs="Times New Roman"/>
          <w:sz w:val="28"/>
          <w:szCs w:val="28"/>
        </w:rPr>
        <w:t>Слід зазначити, що при складанні п</w:t>
      </w:r>
      <w:r>
        <w:rPr>
          <w:rFonts w:ascii="Times New Roman" w:hAnsi="Times New Roman" w:cs="Times New Roman"/>
          <w:sz w:val="28"/>
          <w:szCs w:val="28"/>
        </w:rPr>
        <w:t>рогнозу міського бюджету на 2026</w:t>
      </w:r>
      <w:r w:rsidRPr="00A141D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41DF">
        <w:rPr>
          <w:rFonts w:ascii="Times New Roman" w:hAnsi="Times New Roman" w:cs="Times New Roman"/>
          <w:sz w:val="28"/>
          <w:szCs w:val="28"/>
        </w:rPr>
        <w:t xml:space="preserve"> роки </w:t>
      </w:r>
      <w:r w:rsidRPr="00A141DF">
        <w:rPr>
          <w:rFonts w:ascii="Times New Roman" w:hAnsi="Times New Roman" w:cs="Times New Roman"/>
          <w:sz w:val="28"/>
          <w:szCs w:val="28"/>
          <w:lang w:eastAsia="en-US"/>
        </w:rPr>
        <w:t>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установ, на проведення розрахунків за електричну та теплову енергію, водопостачання, водовідведення, природній газ та послуги зв’язку, які споживаються бюджетними установами.</w:t>
      </w:r>
    </w:p>
    <w:p w:rsidR="002B0B80" w:rsidRPr="00A141DF" w:rsidRDefault="002B0B80" w:rsidP="00597EB6">
      <w:pPr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Першочергово також враховані обсяги видатків, необхідні для забезпечення стабільної роботи установ та закладів соціально – культурної сфери, надання встановлених власних соціальних гарантій для </w:t>
      </w:r>
      <w:proofErr w:type="spellStart"/>
      <w:r w:rsidRPr="00A141DF">
        <w:rPr>
          <w:rFonts w:ascii="Times New Roman" w:hAnsi="Times New Roman" w:cs="Times New Roman"/>
          <w:sz w:val="28"/>
          <w:szCs w:val="28"/>
          <w:lang w:eastAsia="en-US"/>
        </w:rPr>
        <w:t>малозахищених</w:t>
      </w:r>
      <w:proofErr w:type="spellEnd"/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 категорій громадян, підтримку в належному стані об’єктів </w:t>
      </w:r>
      <w:proofErr w:type="spellStart"/>
      <w:r w:rsidRPr="00A141DF">
        <w:rPr>
          <w:rFonts w:ascii="Times New Roman" w:hAnsi="Times New Roman" w:cs="Times New Roman"/>
          <w:sz w:val="28"/>
          <w:szCs w:val="28"/>
          <w:lang w:eastAsia="en-US"/>
        </w:rPr>
        <w:t>житлово</w:t>
      </w:r>
      <w:proofErr w:type="spellEnd"/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 – комунального господарства, інших об’єктів інфраструктури міста, впровадження заходів з енергозбереження, а також виконання в межах фінансових можливостей місцевих програм.</w:t>
      </w:r>
    </w:p>
    <w:p w:rsidR="002B0B80" w:rsidRPr="00A141DF" w:rsidRDefault="002B0B80" w:rsidP="00DB21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80" w:rsidRPr="00A141DF" w:rsidRDefault="002B0B80" w:rsidP="0090787E">
      <w:pPr>
        <w:ind w:left="71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0B80" w:rsidRPr="00A141DF" w:rsidRDefault="002B0B80" w:rsidP="00C7584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41D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До Прогнозу додаються: </w:t>
      </w:r>
    </w:p>
    <w:p w:rsidR="002B0B80" w:rsidRDefault="002B0B80" w:rsidP="00C7584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B0B80" w:rsidRPr="00A141DF" w:rsidRDefault="002B0B80" w:rsidP="00C7584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Додаток 1«Загальні показники бюджету» </w:t>
      </w:r>
    </w:p>
    <w:p w:rsidR="002B0B80" w:rsidRDefault="002B0B80" w:rsidP="00C7584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Додаток 2 «Показники доходів бюджету» </w:t>
      </w:r>
    </w:p>
    <w:p w:rsidR="002B0B80" w:rsidRDefault="002B0B80" w:rsidP="00C7584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Додаток 3 «Показники фінансування бюджету» </w:t>
      </w:r>
    </w:p>
    <w:p w:rsidR="002B0B80" w:rsidRPr="00A141DF" w:rsidRDefault="002B0B80" w:rsidP="00FC5B3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Додаток 4 «Показники місцевого боргу» </w:t>
      </w:r>
    </w:p>
    <w:p w:rsidR="002B0B80" w:rsidRPr="00A141DF" w:rsidRDefault="002B0B80" w:rsidP="00FC5B3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Додаток 5 «Показники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надання місцевих гарантій, обсягу гарантійних зобов’язань та гарантованого</w:t>
      </w: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 Автономною 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еспублікою Крим, обласною радою, міською, селищною чи сільською </w:t>
      </w: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територіальною громадою» </w:t>
      </w:r>
    </w:p>
    <w:p w:rsidR="002B0B80" w:rsidRPr="00A141DF" w:rsidRDefault="002B0B80" w:rsidP="009C709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Додаток 6 «Граничні показники видатків бюджету та надання кредитів з бюджету головним розпорядникам коштів» </w:t>
      </w:r>
    </w:p>
    <w:p w:rsidR="002B0B80" w:rsidRPr="00A141DF" w:rsidRDefault="002B0B80" w:rsidP="009C709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Додаток 7 «Граничні показники видатків бюджету за Типовою програмною класифікацією видатків та кредитування місцевого бюджету» </w:t>
      </w:r>
    </w:p>
    <w:p w:rsidR="002B0B80" w:rsidRPr="00A141DF" w:rsidRDefault="002B0B80" w:rsidP="0096180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41DF">
        <w:rPr>
          <w:rFonts w:ascii="Times New Roman" w:hAnsi="Times New Roman" w:cs="Times New Roman"/>
          <w:sz w:val="28"/>
          <w:szCs w:val="28"/>
          <w:lang w:eastAsia="en-US"/>
        </w:rPr>
        <w:t>Додаток 9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Обсяг</w:t>
      </w:r>
      <w:r w:rsidRPr="009F4CE0">
        <w:rPr>
          <w:rFonts w:ascii="Times New Roman" w:hAnsi="Times New Roman" w:cs="Times New Roman"/>
          <w:sz w:val="28"/>
          <w:szCs w:val="28"/>
          <w:lang w:eastAsia="en-US"/>
        </w:rPr>
        <w:t xml:space="preserve">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</w:t>
      </w:r>
      <w:r>
        <w:rPr>
          <w:rFonts w:ascii="Times New Roman" w:hAnsi="Times New Roman" w:cs="Times New Roman"/>
          <w:sz w:val="28"/>
          <w:szCs w:val="28"/>
          <w:lang w:eastAsia="en-US"/>
        </w:rPr>
        <w:t>інвестицій регіону (територіальної</w:t>
      </w:r>
      <w:r w:rsidRPr="009F4CE0">
        <w:rPr>
          <w:rFonts w:ascii="Times New Roman" w:hAnsi="Times New Roman" w:cs="Times New Roman"/>
          <w:sz w:val="28"/>
          <w:szCs w:val="28"/>
          <w:lang w:eastAsia="en-US"/>
        </w:rPr>
        <w:t xml:space="preserve"> громади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</w:p>
    <w:p w:rsidR="002B0B80" w:rsidRPr="00A141DF" w:rsidRDefault="002B0B80" w:rsidP="00C7584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Додаток 10</w:t>
      </w: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 «Показники міжбюджетних трансфертів з інших бюджетів» </w:t>
      </w:r>
    </w:p>
    <w:p w:rsidR="002B0B80" w:rsidRPr="00A141DF" w:rsidRDefault="002B0B80" w:rsidP="00FC5B3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Додаток 11</w:t>
      </w: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 «Показники міжбюджетних трансфертів </w:t>
      </w:r>
      <w:r>
        <w:rPr>
          <w:rFonts w:ascii="Times New Roman" w:hAnsi="Times New Roman" w:cs="Times New Roman"/>
          <w:sz w:val="28"/>
          <w:szCs w:val="28"/>
          <w:lang w:eastAsia="en-US"/>
        </w:rPr>
        <w:t>іншим бюджетам</w:t>
      </w:r>
      <w:r w:rsidRPr="00A141DF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</w:p>
    <w:p w:rsidR="002B0B80" w:rsidRPr="00A141DF" w:rsidRDefault="002B0B80" w:rsidP="00C75844">
      <w:pPr>
        <w:spacing w:after="21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0B80" w:rsidRPr="00A141DF" w:rsidRDefault="002B0B80" w:rsidP="009C709B">
      <w:pPr>
        <w:spacing w:after="19" w:line="259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0B80" w:rsidRPr="00A141DF" w:rsidRDefault="002B0B80" w:rsidP="009C709B">
      <w:pPr>
        <w:spacing w:after="19" w:line="259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0B80" w:rsidRPr="00A141DF" w:rsidRDefault="002B0B80" w:rsidP="009C709B">
      <w:pPr>
        <w:spacing w:after="19" w:line="259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0B80" w:rsidRPr="00A141DF" w:rsidRDefault="002B0B80" w:rsidP="005A2B0D">
      <w:pPr>
        <w:spacing w:after="19" w:line="259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41D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Начальник  фінансового управління                </w:t>
      </w:r>
      <w:r w:rsidR="005A2B0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r w:rsidRPr="00A141D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Ігор РИЧАГІВСЬКИЙ</w:t>
      </w:r>
    </w:p>
    <w:p w:rsidR="002B0B80" w:rsidRPr="00A141DF" w:rsidRDefault="002B0B80" w:rsidP="009C709B">
      <w:pPr>
        <w:ind w:left="71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sectPr w:rsidR="002B0B80" w:rsidRPr="00A141DF" w:rsidSect="0045724A">
      <w:headerReference w:type="default" r:id="rId7"/>
      <w:footerReference w:type="even" r:id="rId8"/>
      <w:foot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A4" w:rsidRDefault="00E05FA4" w:rsidP="00F108E3">
      <w:r>
        <w:separator/>
      </w:r>
    </w:p>
  </w:endnote>
  <w:endnote w:type="continuationSeparator" w:id="0">
    <w:p w:rsidR="00E05FA4" w:rsidRDefault="00E05FA4" w:rsidP="00F1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80" w:rsidRDefault="00862D33" w:rsidP="00775243">
    <w:pPr>
      <w:pStyle w:val="a5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2B0B80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B0B80" w:rsidRDefault="002B0B80" w:rsidP="004572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80" w:rsidRDefault="002B0B80" w:rsidP="0045724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A4" w:rsidRDefault="00E05FA4" w:rsidP="00F108E3">
      <w:r>
        <w:separator/>
      </w:r>
    </w:p>
  </w:footnote>
  <w:footnote w:type="continuationSeparator" w:id="0">
    <w:p w:rsidR="00E05FA4" w:rsidRDefault="00E05FA4" w:rsidP="00F10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80" w:rsidRDefault="00862D33">
    <w:pPr>
      <w:pStyle w:val="ae"/>
      <w:spacing w:line="14" w:lineRule="auto"/>
      <w:ind w:left="0"/>
      <w:rPr>
        <w:sz w:val="20"/>
      </w:rPr>
    </w:pPr>
    <w:r w:rsidRPr="00862D33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9pt;margin-top:34.95pt;width:14pt;height:15.3pt;z-index:-251658752;mso-position-horizontal-relative:page;mso-position-vertical-relative:page" filled="f" stroked="f">
          <v:textbox style="mso-next-textbox:#docshape1" inset="0,0,0,0">
            <w:txbxContent>
              <w:p w:rsidR="002B0B80" w:rsidRDefault="002B0B80">
                <w:pPr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753"/>
    <w:multiLevelType w:val="hybridMultilevel"/>
    <w:tmpl w:val="C30C5FD6"/>
    <w:lvl w:ilvl="0" w:tplc="E79E2C2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37252A2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A2AD4C0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4008AA2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0B6915C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9828D6A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818141E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95CE4D8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D96955C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EDB0933"/>
    <w:multiLevelType w:val="hybridMultilevel"/>
    <w:tmpl w:val="590CA8E4"/>
    <w:lvl w:ilvl="0" w:tplc="D2A20EBE">
      <w:start w:val="1"/>
      <w:numFmt w:val="bullet"/>
      <w:lvlText w:val="–"/>
      <w:lvlJc w:val="left"/>
      <w:pPr>
        <w:ind w:left="3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7762A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F90A8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D34A0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1D0D5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0CC49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9A432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042AF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C36B3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0F270524"/>
    <w:multiLevelType w:val="hybridMultilevel"/>
    <w:tmpl w:val="E0304D1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2E33D7"/>
    <w:multiLevelType w:val="hybridMultilevel"/>
    <w:tmpl w:val="15ACC6BE"/>
    <w:lvl w:ilvl="0" w:tplc="036A4DCA">
      <w:numFmt w:val="bullet"/>
      <w:lvlText w:val="-"/>
      <w:lvlJc w:val="left"/>
      <w:pPr>
        <w:ind w:left="216" w:hanging="288"/>
      </w:pPr>
      <w:rPr>
        <w:rFonts w:ascii="Times New Roman" w:eastAsia="Times New Roman" w:hAnsi="Times New Roman" w:hint="default"/>
        <w:w w:val="99"/>
        <w:sz w:val="26"/>
      </w:rPr>
    </w:lvl>
    <w:lvl w:ilvl="1" w:tplc="D2A0E1CC">
      <w:numFmt w:val="bullet"/>
      <w:lvlText w:val="•"/>
      <w:lvlJc w:val="left"/>
      <w:pPr>
        <w:ind w:left="1206" w:hanging="288"/>
      </w:pPr>
    </w:lvl>
    <w:lvl w:ilvl="2" w:tplc="0234BD60">
      <w:numFmt w:val="bullet"/>
      <w:lvlText w:val="•"/>
      <w:lvlJc w:val="left"/>
      <w:pPr>
        <w:ind w:left="2193" w:hanging="288"/>
      </w:pPr>
    </w:lvl>
    <w:lvl w:ilvl="3" w:tplc="C7140206">
      <w:numFmt w:val="bullet"/>
      <w:lvlText w:val="•"/>
      <w:lvlJc w:val="left"/>
      <w:pPr>
        <w:ind w:left="3179" w:hanging="288"/>
      </w:pPr>
    </w:lvl>
    <w:lvl w:ilvl="4" w:tplc="DCB4664C">
      <w:numFmt w:val="bullet"/>
      <w:lvlText w:val="•"/>
      <w:lvlJc w:val="left"/>
      <w:pPr>
        <w:ind w:left="4166" w:hanging="288"/>
      </w:pPr>
    </w:lvl>
    <w:lvl w:ilvl="5" w:tplc="C74E9E24">
      <w:numFmt w:val="bullet"/>
      <w:lvlText w:val="•"/>
      <w:lvlJc w:val="left"/>
      <w:pPr>
        <w:ind w:left="5153" w:hanging="288"/>
      </w:pPr>
    </w:lvl>
    <w:lvl w:ilvl="6" w:tplc="4D5067B8">
      <w:numFmt w:val="bullet"/>
      <w:lvlText w:val="•"/>
      <w:lvlJc w:val="left"/>
      <w:pPr>
        <w:ind w:left="6139" w:hanging="288"/>
      </w:pPr>
    </w:lvl>
    <w:lvl w:ilvl="7" w:tplc="7CBA61FA">
      <w:numFmt w:val="bullet"/>
      <w:lvlText w:val="•"/>
      <w:lvlJc w:val="left"/>
      <w:pPr>
        <w:ind w:left="7126" w:hanging="288"/>
      </w:pPr>
    </w:lvl>
    <w:lvl w:ilvl="8" w:tplc="3A009644">
      <w:numFmt w:val="bullet"/>
      <w:lvlText w:val="•"/>
      <w:lvlJc w:val="left"/>
      <w:pPr>
        <w:ind w:left="8113" w:hanging="288"/>
      </w:pPr>
    </w:lvl>
  </w:abstractNum>
  <w:abstractNum w:abstractNumId="4">
    <w:nsid w:val="272438FD"/>
    <w:multiLevelType w:val="hybridMultilevel"/>
    <w:tmpl w:val="E0C6AADA"/>
    <w:lvl w:ilvl="0" w:tplc="112079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B65BB6"/>
    <w:multiLevelType w:val="hybridMultilevel"/>
    <w:tmpl w:val="38547B0C"/>
    <w:lvl w:ilvl="0" w:tplc="05D6230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3AC67CE2"/>
    <w:multiLevelType w:val="multilevel"/>
    <w:tmpl w:val="97E2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F2C0D"/>
    <w:multiLevelType w:val="hybridMultilevel"/>
    <w:tmpl w:val="33721E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21DB8"/>
    <w:multiLevelType w:val="multilevel"/>
    <w:tmpl w:val="BFD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C665C"/>
    <w:multiLevelType w:val="multilevel"/>
    <w:tmpl w:val="43BE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3541D"/>
    <w:multiLevelType w:val="hybridMultilevel"/>
    <w:tmpl w:val="3864BCAA"/>
    <w:lvl w:ilvl="0" w:tplc="62B2C9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E0129B5"/>
    <w:multiLevelType w:val="multilevel"/>
    <w:tmpl w:val="9C26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2195F"/>
    <w:multiLevelType w:val="multilevel"/>
    <w:tmpl w:val="0BD6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50311"/>
    <w:multiLevelType w:val="multilevel"/>
    <w:tmpl w:val="8BEA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48386B"/>
    <w:multiLevelType w:val="hybridMultilevel"/>
    <w:tmpl w:val="1DDCFB00"/>
    <w:lvl w:ilvl="0" w:tplc="BC9653A2">
      <w:start w:val="1"/>
      <w:numFmt w:val="bullet"/>
      <w:lvlText w:val="–"/>
      <w:lvlJc w:val="left"/>
      <w:pPr>
        <w:ind w:left="3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734BF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68045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BE275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F4A84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59ADD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BAC00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3E89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582A1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>
    <w:nsid w:val="75F917E2"/>
    <w:multiLevelType w:val="hybridMultilevel"/>
    <w:tmpl w:val="3E8285A8"/>
    <w:lvl w:ilvl="0" w:tplc="F5C060F6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6057626"/>
    <w:multiLevelType w:val="hybridMultilevel"/>
    <w:tmpl w:val="B3DA3B36"/>
    <w:lvl w:ilvl="0" w:tplc="09C41EA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6F4E53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E52379C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E6ED6F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7D477C0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3AAA3BC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9204E90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4AA1AE0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9F2CD0C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7">
    <w:nsid w:val="78D8489F"/>
    <w:multiLevelType w:val="multilevel"/>
    <w:tmpl w:val="8420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"/>
  </w:num>
  <w:num w:numId="9">
    <w:abstractNumId w:val="14"/>
  </w:num>
  <w:num w:numId="10">
    <w:abstractNumId w:val="9"/>
  </w:num>
  <w:num w:numId="11">
    <w:abstractNumId w:val="8"/>
  </w:num>
  <w:num w:numId="12">
    <w:abstractNumId w:val="6"/>
  </w:num>
  <w:num w:numId="13">
    <w:abstractNumId w:val="17"/>
  </w:num>
  <w:num w:numId="14">
    <w:abstractNumId w:val="11"/>
  </w:num>
  <w:num w:numId="15">
    <w:abstractNumId w:val="13"/>
  </w:num>
  <w:num w:numId="16">
    <w:abstractNumId w:val="12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36D4"/>
    <w:rsid w:val="0000161E"/>
    <w:rsid w:val="00004BA1"/>
    <w:rsid w:val="00010F2C"/>
    <w:rsid w:val="00011F9D"/>
    <w:rsid w:val="000172DB"/>
    <w:rsid w:val="00024DCE"/>
    <w:rsid w:val="00034001"/>
    <w:rsid w:val="00040370"/>
    <w:rsid w:val="000409F6"/>
    <w:rsid w:val="00041023"/>
    <w:rsid w:val="00042622"/>
    <w:rsid w:val="000455BC"/>
    <w:rsid w:val="00055593"/>
    <w:rsid w:val="00060C33"/>
    <w:rsid w:val="000769B7"/>
    <w:rsid w:val="000806A5"/>
    <w:rsid w:val="00084782"/>
    <w:rsid w:val="0009066D"/>
    <w:rsid w:val="00090D35"/>
    <w:rsid w:val="00096E85"/>
    <w:rsid w:val="000A0C55"/>
    <w:rsid w:val="000A1ED1"/>
    <w:rsid w:val="000A6FA9"/>
    <w:rsid w:val="000B4127"/>
    <w:rsid w:val="000B6ECC"/>
    <w:rsid w:val="000B7F02"/>
    <w:rsid w:val="000C312D"/>
    <w:rsid w:val="000D1B60"/>
    <w:rsid w:val="000D4803"/>
    <w:rsid w:val="000D5042"/>
    <w:rsid w:val="000D6682"/>
    <w:rsid w:val="000E4EE3"/>
    <w:rsid w:val="000E4F81"/>
    <w:rsid w:val="000F3394"/>
    <w:rsid w:val="000F3F0C"/>
    <w:rsid w:val="000F5F60"/>
    <w:rsid w:val="0010130B"/>
    <w:rsid w:val="00103017"/>
    <w:rsid w:val="00103022"/>
    <w:rsid w:val="001042B9"/>
    <w:rsid w:val="0010463D"/>
    <w:rsid w:val="00106A6A"/>
    <w:rsid w:val="001116B8"/>
    <w:rsid w:val="001138A3"/>
    <w:rsid w:val="00124ADF"/>
    <w:rsid w:val="00127EFA"/>
    <w:rsid w:val="00135B47"/>
    <w:rsid w:val="00135C27"/>
    <w:rsid w:val="001377FC"/>
    <w:rsid w:val="001619FE"/>
    <w:rsid w:val="00163022"/>
    <w:rsid w:val="00177326"/>
    <w:rsid w:val="001846F5"/>
    <w:rsid w:val="00185179"/>
    <w:rsid w:val="001915D6"/>
    <w:rsid w:val="00193DFD"/>
    <w:rsid w:val="001A1EB3"/>
    <w:rsid w:val="001A2A3D"/>
    <w:rsid w:val="001A77C2"/>
    <w:rsid w:val="001B2DEC"/>
    <w:rsid w:val="001C167D"/>
    <w:rsid w:val="001C4034"/>
    <w:rsid w:val="001C4D0D"/>
    <w:rsid w:val="001C6035"/>
    <w:rsid w:val="001D1616"/>
    <w:rsid w:val="001D5C95"/>
    <w:rsid w:val="001D68CD"/>
    <w:rsid w:val="001D6ECD"/>
    <w:rsid w:val="001D6F9E"/>
    <w:rsid w:val="001D7E4C"/>
    <w:rsid w:val="001E4823"/>
    <w:rsid w:val="001E6449"/>
    <w:rsid w:val="001E76BA"/>
    <w:rsid w:val="001F26B5"/>
    <w:rsid w:val="001F27F5"/>
    <w:rsid w:val="001F43D7"/>
    <w:rsid w:val="001F5F28"/>
    <w:rsid w:val="0021115F"/>
    <w:rsid w:val="0021242D"/>
    <w:rsid w:val="00215973"/>
    <w:rsid w:val="00216350"/>
    <w:rsid w:val="00232EE0"/>
    <w:rsid w:val="00241DF2"/>
    <w:rsid w:val="00241EC8"/>
    <w:rsid w:val="00245598"/>
    <w:rsid w:val="00255BA2"/>
    <w:rsid w:val="00260100"/>
    <w:rsid w:val="00260B3A"/>
    <w:rsid w:val="00260F73"/>
    <w:rsid w:val="00271A43"/>
    <w:rsid w:val="002735A6"/>
    <w:rsid w:val="00276CED"/>
    <w:rsid w:val="00280331"/>
    <w:rsid w:val="00281890"/>
    <w:rsid w:val="00286EE5"/>
    <w:rsid w:val="00294BB1"/>
    <w:rsid w:val="002A6586"/>
    <w:rsid w:val="002B0A13"/>
    <w:rsid w:val="002B0B80"/>
    <w:rsid w:val="002B0BAC"/>
    <w:rsid w:val="002B1E2F"/>
    <w:rsid w:val="002B211A"/>
    <w:rsid w:val="002B41E5"/>
    <w:rsid w:val="002B6B64"/>
    <w:rsid w:val="002C4340"/>
    <w:rsid w:val="002D0F1D"/>
    <w:rsid w:val="002D78EE"/>
    <w:rsid w:val="002E5DCE"/>
    <w:rsid w:val="002E5F8C"/>
    <w:rsid w:val="002E6105"/>
    <w:rsid w:val="002F29D6"/>
    <w:rsid w:val="002F5834"/>
    <w:rsid w:val="00307DDF"/>
    <w:rsid w:val="00310A87"/>
    <w:rsid w:val="00311010"/>
    <w:rsid w:val="003216B2"/>
    <w:rsid w:val="00321E06"/>
    <w:rsid w:val="003536D2"/>
    <w:rsid w:val="00354C49"/>
    <w:rsid w:val="0036213E"/>
    <w:rsid w:val="00362C5A"/>
    <w:rsid w:val="00377980"/>
    <w:rsid w:val="00385622"/>
    <w:rsid w:val="00386E79"/>
    <w:rsid w:val="00390BB0"/>
    <w:rsid w:val="003969BA"/>
    <w:rsid w:val="003A0521"/>
    <w:rsid w:val="003B5757"/>
    <w:rsid w:val="003B61DD"/>
    <w:rsid w:val="003C57D5"/>
    <w:rsid w:val="003C5C2D"/>
    <w:rsid w:val="003C610D"/>
    <w:rsid w:val="003D3B90"/>
    <w:rsid w:val="003D4945"/>
    <w:rsid w:val="003D6F3E"/>
    <w:rsid w:val="003D7616"/>
    <w:rsid w:val="003E3496"/>
    <w:rsid w:val="003E6011"/>
    <w:rsid w:val="003E73C6"/>
    <w:rsid w:val="003F113A"/>
    <w:rsid w:val="003F2ADC"/>
    <w:rsid w:val="003F3D87"/>
    <w:rsid w:val="003F4981"/>
    <w:rsid w:val="00400C64"/>
    <w:rsid w:val="00402C8F"/>
    <w:rsid w:val="004047DE"/>
    <w:rsid w:val="00406615"/>
    <w:rsid w:val="00406D77"/>
    <w:rsid w:val="00406E09"/>
    <w:rsid w:val="004105B3"/>
    <w:rsid w:val="00410A74"/>
    <w:rsid w:val="00413BB9"/>
    <w:rsid w:val="00414C0A"/>
    <w:rsid w:val="004202E6"/>
    <w:rsid w:val="004203FD"/>
    <w:rsid w:val="00421758"/>
    <w:rsid w:val="004244FE"/>
    <w:rsid w:val="00434AA9"/>
    <w:rsid w:val="00435F81"/>
    <w:rsid w:val="004368CD"/>
    <w:rsid w:val="00445EF5"/>
    <w:rsid w:val="00446ACE"/>
    <w:rsid w:val="00447A8A"/>
    <w:rsid w:val="00451C5E"/>
    <w:rsid w:val="004542BB"/>
    <w:rsid w:val="0045724A"/>
    <w:rsid w:val="00470FBA"/>
    <w:rsid w:val="0047310C"/>
    <w:rsid w:val="00473F92"/>
    <w:rsid w:val="00475CF6"/>
    <w:rsid w:val="00482403"/>
    <w:rsid w:val="004838A7"/>
    <w:rsid w:val="004A19E9"/>
    <w:rsid w:val="004A74F2"/>
    <w:rsid w:val="004B78BB"/>
    <w:rsid w:val="004C0A24"/>
    <w:rsid w:val="004D01B9"/>
    <w:rsid w:val="004D3D02"/>
    <w:rsid w:val="004D5774"/>
    <w:rsid w:val="004E0452"/>
    <w:rsid w:val="004E30AD"/>
    <w:rsid w:val="004F2520"/>
    <w:rsid w:val="004F3235"/>
    <w:rsid w:val="004F3C35"/>
    <w:rsid w:val="004F57AA"/>
    <w:rsid w:val="004F716F"/>
    <w:rsid w:val="004F7C09"/>
    <w:rsid w:val="00503C60"/>
    <w:rsid w:val="00504EFC"/>
    <w:rsid w:val="00510B50"/>
    <w:rsid w:val="00511199"/>
    <w:rsid w:val="005120F3"/>
    <w:rsid w:val="0051460F"/>
    <w:rsid w:val="00523798"/>
    <w:rsid w:val="00525DD2"/>
    <w:rsid w:val="005446DB"/>
    <w:rsid w:val="005561AB"/>
    <w:rsid w:val="00557A38"/>
    <w:rsid w:val="0056021E"/>
    <w:rsid w:val="00561DCF"/>
    <w:rsid w:val="00561F26"/>
    <w:rsid w:val="00563DF0"/>
    <w:rsid w:val="00573D8E"/>
    <w:rsid w:val="005842F8"/>
    <w:rsid w:val="00592579"/>
    <w:rsid w:val="00592704"/>
    <w:rsid w:val="00592B47"/>
    <w:rsid w:val="00597AA3"/>
    <w:rsid w:val="00597AC9"/>
    <w:rsid w:val="00597EB6"/>
    <w:rsid w:val="00597ED1"/>
    <w:rsid w:val="005A2747"/>
    <w:rsid w:val="005A2B0D"/>
    <w:rsid w:val="005B343B"/>
    <w:rsid w:val="005C2A9C"/>
    <w:rsid w:val="005C3A40"/>
    <w:rsid w:val="005C3A87"/>
    <w:rsid w:val="005C7C7F"/>
    <w:rsid w:val="005D065D"/>
    <w:rsid w:val="005D1EB4"/>
    <w:rsid w:val="005D2D9F"/>
    <w:rsid w:val="005D3A63"/>
    <w:rsid w:val="005E1542"/>
    <w:rsid w:val="005E2FC0"/>
    <w:rsid w:val="005E34BC"/>
    <w:rsid w:val="005E51ED"/>
    <w:rsid w:val="005E5EF8"/>
    <w:rsid w:val="005E6B3E"/>
    <w:rsid w:val="005F3C9C"/>
    <w:rsid w:val="005F72C0"/>
    <w:rsid w:val="0060006E"/>
    <w:rsid w:val="00613F5C"/>
    <w:rsid w:val="006173FD"/>
    <w:rsid w:val="00621629"/>
    <w:rsid w:val="00622602"/>
    <w:rsid w:val="00623C06"/>
    <w:rsid w:val="00630AA6"/>
    <w:rsid w:val="0063104E"/>
    <w:rsid w:val="006328CB"/>
    <w:rsid w:val="0063294E"/>
    <w:rsid w:val="0064527E"/>
    <w:rsid w:val="0065778D"/>
    <w:rsid w:val="00663ECD"/>
    <w:rsid w:val="0066691A"/>
    <w:rsid w:val="00675E0C"/>
    <w:rsid w:val="00675F17"/>
    <w:rsid w:val="006801E8"/>
    <w:rsid w:val="0068108E"/>
    <w:rsid w:val="00683003"/>
    <w:rsid w:val="0068301F"/>
    <w:rsid w:val="00683957"/>
    <w:rsid w:val="0068498C"/>
    <w:rsid w:val="006A3944"/>
    <w:rsid w:val="006B1BDC"/>
    <w:rsid w:val="006C22B9"/>
    <w:rsid w:val="006C310E"/>
    <w:rsid w:val="006C4339"/>
    <w:rsid w:val="006D0FD4"/>
    <w:rsid w:val="006D135C"/>
    <w:rsid w:val="006D1F6B"/>
    <w:rsid w:val="006D2E87"/>
    <w:rsid w:val="006D4498"/>
    <w:rsid w:val="006D44E7"/>
    <w:rsid w:val="006D77E7"/>
    <w:rsid w:val="006E248D"/>
    <w:rsid w:val="006E461B"/>
    <w:rsid w:val="006E5484"/>
    <w:rsid w:val="006F45A5"/>
    <w:rsid w:val="006F7848"/>
    <w:rsid w:val="00702A49"/>
    <w:rsid w:val="007075F5"/>
    <w:rsid w:val="00715D78"/>
    <w:rsid w:val="007266CF"/>
    <w:rsid w:val="0073211F"/>
    <w:rsid w:val="00743C92"/>
    <w:rsid w:val="00746979"/>
    <w:rsid w:val="007544CF"/>
    <w:rsid w:val="00765C22"/>
    <w:rsid w:val="00772AC7"/>
    <w:rsid w:val="00775243"/>
    <w:rsid w:val="00775FAA"/>
    <w:rsid w:val="00776C0C"/>
    <w:rsid w:val="00777BA7"/>
    <w:rsid w:val="00783211"/>
    <w:rsid w:val="0078619D"/>
    <w:rsid w:val="007923FF"/>
    <w:rsid w:val="007A04B2"/>
    <w:rsid w:val="007A1A6C"/>
    <w:rsid w:val="007A2FB4"/>
    <w:rsid w:val="007B2741"/>
    <w:rsid w:val="007B652E"/>
    <w:rsid w:val="007D08B2"/>
    <w:rsid w:val="007D1268"/>
    <w:rsid w:val="007D5AEF"/>
    <w:rsid w:val="007D5E36"/>
    <w:rsid w:val="007D628C"/>
    <w:rsid w:val="007D7314"/>
    <w:rsid w:val="007D7991"/>
    <w:rsid w:val="007E1C96"/>
    <w:rsid w:val="007E5038"/>
    <w:rsid w:val="007E6303"/>
    <w:rsid w:val="007F1410"/>
    <w:rsid w:val="007F762C"/>
    <w:rsid w:val="00801F99"/>
    <w:rsid w:val="00810BD8"/>
    <w:rsid w:val="00813328"/>
    <w:rsid w:val="008143B6"/>
    <w:rsid w:val="00823611"/>
    <w:rsid w:val="00830243"/>
    <w:rsid w:val="008379A1"/>
    <w:rsid w:val="00837B0A"/>
    <w:rsid w:val="00837BF6"/>
    <w:rsid w:val="00844C56"/>
    <w:rsid w:val="00846E19"/>
    <w:rsid w:val="00851127"/>
    <w:rsid w:val="00855094"/>
    <w:rsid w:val="008566BF"/>
    <w:rsid w:val="00862D33"/>
    <w:rsid w:val="00873CAC"/>
    <w:rsid w:val="00885E0C"/>
    <w:rsid w:val="008941B7"/>
    <w:rsid w:val="00895CA4"/>
    <w:rsid w:val="008A3A3B"/>
    <w:rsid w:val="008A735D"/>
    <w:rsid w:val="008B0696"/>
    <w:rsid w:val="008D3D98"/>
    <w:rsid w:val="008E72C7"/>
    <w:rsid w:val="00902E34"/>
    <w:rsid w:val="0090450A"/>
    <w:rsid w:val="0090523C"/>
    <w:rsid w:val="00907412"/>
    <w:rsid w:val="0090787E"/>
    <w:rsid w:val="0091287E"/>
    <w:rsid w:val="00914E13"/>
    <w:rsid w:val="00916859"/>
    <w:rsid w:val="00923994"/>
    <w:rsid w:val="00924455"/>
    <w:rsid w:val="00936D37"/>
    <w:rsid w:val="0094547F"/>
    <w:rsid w:val="00951E24"/>
    <w:rsid w:val="009546A6"/>
    <w:rsid w:val="009560DE"/>
    <w:rsid w:val="00961672"/>
    <w:rsid w:val="0096180F"/>
    <w:rsid w:val="00963567"/>
    <w:rsid w:val="00970F01"/>
    <w:rsid w:val="009726A8"/>
    <w:rsid w:val="00972901"/>
    <w:rsid w:val="0097686E"/>
    <w:rsid w:val="00977B12"/>
    <w:rsid w:val="0099431F"/>
    <w:rsid w:val="009A32B5"/>
    <w:rsid w:val="009B0776"/>
    <w:rsid w:val="009B255C"/>
    <w:rsid w:val="009C709B"/>
    <w:rsid w:val="009D088C"/>
    <w:rsid w:val="009D6602"/>
    <w:rsid w:val="009E4C9F"/>
    <w:rsid w:val="009F1AC6"/>
    <w:rsid w:val="009F4CE0"/>
    <w:rsid w:val="009F7D77"/>
    <w:rsid w:val="00A041C5"/>
    <w:rsid w:val="00A074DC"/>
    <w:rsid w:val="00A11B72"/>
    <w:rsid w:val="00A11F91"/>
    <w:rsid w:val="00A141DF"/>
    <w:rsid w:val="00A22C31"/>
    <w:rsid w:val="00A25D91"/>
    <w:rsid w:val="00A309A7"/>
    <w:rsid w:val="00A35585"/>
    <w:rsid w:val="00A4282F"/>
    <w:rsid w:val="00A42ED3"/>
    <w:rsid w:val="00A43923"/>
    <w:rsid w:val="00A47EF6"/>
    <w:rsid w:val="00A50C78"/>
    <w:rsid w:val="00A51985"/>
    <w:rsid w:val="00A52185"/>
    <w:rsid w:val="00A635DC"/>
    <w:rsid w:val="00A820A1"/>
    <w:rsid w:val="00A82118"/>
    <w:rsid w:val="00A8371E"/>
    <w:rsid w:val="00A83D6E"/>
    <w:rsid w:val="00A83D75"/>
    <w:rsid w:val="00A87641"/>
    <w:rsid w:val="00A912E0"/>
    <w:rsid w:val="00A915B5"/>
    <w:rsid w:val="00A94129"/>
    <w:rsid w:val="00A95F3F"/>
    <w:rsid w:val="00A966C9"/>
    <w:rsid w:val="00AA79BD"/>
    <w:rsid w:val="00AA7C70"/>
    <w:rsid w:val="00AC2CA0"/>
    <w:rsid w:val="00AC4904"/>
    <w:rsid w:val="00AC7405"/>
    <w:rsid w:val="00AD2D11"/>
    <w:rsid w:val="00AD2D45"/>
    <w:rsid w:val="00AD4CF4"/>
    <w:rsid w:val="00AE1214"/>
    <w:rsid w:val="00AE2FA5"/>
    <w:rsid w:val="00AF6A28"/>
    <w:rsid w:val="00B02062"/>
    <w:rsid w:val="00B06EB0"/>
    <w:rsid w:val="00B13346"/>
    <w:rsid w:val="00B13C80"/>
    <w:rsid w:val="00B24E8D"/>
    <w:rsid w:val="00B43EE1"/>
    <w:rsid w:val="00B51BB9"/>
    <w:rsid w:val="00B51D6F"/>
    <w:rsid w:val="00B52F83"/>
    <w:rsid w:val="00B5526F"/>
    <w:rsid w:val="00B56D25"/>
    <w:rsid w:val="00B5796F"/>
    <w:rsid w:val="00B63026"/>
    <w:rsid w:val="00B677A6"/>
    <w:rsid w:val="00B72565"/>
    <w:rsid w:val="00B739D7"/>
    <w:rsid w:val="00B73FEF"/>
    <w:rsid w:val="00B806F9"/>
    <w:rsid w:val="00B807AB"/>
    <w:rsid w:val="00B82C5B"/>
    <w:rsid w:val="00B83277"/>
    <w:rsid w:val="00B90CA0"/>
    <w:rsid w:val="00B921F8"/>
    <w:rsid w:val="00B925E3"/>
    <w:rsid w:val="00B95B98"/>
    <w:rsid w:val="00BA14BF"/>
    <w:rsid w:val="00BA1857"/>
    <w:rsid w:val="00BA25EB"/>
    <w:rsid w:val="00BA7CA5"/>
    <w:rsid w:val="00BB0388"/>
    <w:rsid w:val="00BB12BB"/>
    <w:rsid w:val="00BB6E19"/>
    <w:rsid w:val="00BB7B06"/>
    <w:rsid w:val="00BC5B23"/>
    <w:rsid w:val="00BC5EE9"/>
    <w:rsid w:val="00BC6E1A"/>
    <w:rsid w:val="00BD00E1"/>
    <w:rsid w:val="00BD6C76"/>
    <w:rsid w:val="00BD7504"/>
    <w:rsid w:val="00BE6EA9"/>
    <w:rsid w:val="00BF0A8D"/>
    <w:rsid w:val="00BF17E5"/>
    <w:rsid w:val="00BF33C5"/>
    <w:rsid w:val="00BF7514"/>
    <w:rsid w:val="00C008B8"/>
    <w:rsid w:val="00C06102"/>
    <w:rsid w:val="00C06CEF"/>
    <w:rsid w:val="00C06D41"/>
    <w:rsid w:val="00C23A79"/>
    <w:rsid w:val="00C26090"/>
    <w:rsid w:val="00C300EC"/>
    <w:rsid w:val="00C330F7"/>
    <w:rsid w:val="00C427B0"/>
    <w:rsid w:val="00C43BF7"/>
    <w:rsid w:val="00C45821"/>
    <w:rsid w:val="00C4604E"/>
    <w:rsid w:val="00C6336F"/>
    <w:rsid w:val="00C72D8F"/>
    <w:rsid w:val="00C75844"/>
    <w:rsid w:val="00C83F28"/>
    <w:rsid w:val="00C84611"/>
    <w:rsid w:val="00CA1284"/>
    <w:rsid w:val="00CA734C"/>
    <w:rsid w:val="00CB2EA8"/>
    <w:rsid w:val="00CB6588"/>
    <w:rsid w:val="00CC0026"/>
    <w:rsid w:val="00CC28B9"/>
    <w:rsid w:val="00CC5E34"/>
    <w:rsid w:val="00CD06C8"/>
    <w:rsid w:val="00CF34E5"/>
    <w:rsid w:val="00CF3CBE"/>
    <w:rsid w:val="00CF591A"/>
    <w:rsid w:val="00D06A60"/>
    <w:rsid w:val="00D07452"/>
    <w:rsid w:val="00D078AA"/>
    <w:rsid w:val="00D104C3"/>
    <w:rsid w:val="00D10C00"/>
    <w:rsid w:val="00D13994"/>
    <w:rsid w:val="00D1481F"/>
    <w:rsid w:val="00D14EDB"/>
    <w:rsid w:val="00D21447"/>
    <w:rsid w:val="00D21FD3"/>
    <w:rsid w:val="00D2300B"/>
    <w:rsid w:val="00D242EB"/>
    <w:rsid w:val="00D3097B"/>
    <w:rsid w:val="00D47291"/>
    <w:rsid w:val="00D517D5"/>
    <w:rsid w:val="00D522ED"/>
    <w:rsid w:val="00D54769"/>
    <w:rsid w:val="00D579FE"/>
    <w:rsid w:val="00D6383A"/>
    <w:rsid w:val="00D64467"/>
    <w:rsid w:val="00D6742F"/>
    <w:rsid w:val="00D76E30"/>
    <w:rsid w:val="00D8198A"/>
    <w:rsid w:val="00D9413F"/>
    <w:rsid w:val="00DA4378"/>
    <w:rsid w:val="00DA66D5"/>
    <w:rsid w:val="00DB21F0"/>
    <w:rsid w:val="00DB21FE"/>
    <w:rsid w:val="00DB5AAC"/>
    <w:rsid w:val="00DC056A"/>
    <w:rsid w:val="00DC0B81"/>
    <w:rsid w:val="00DC3170"/>
    <w:rsid w:val="00DC3251"/>
    <w:rsid w:val="00DD2637"/>
    <w:rsid w:val="00DD3795"/>
    <w:rsid w:val="00DE6DEE"/>
    <w:rsid w:val="00DE7C21"/>
    <w:rsid w:val="00DF00F1"/>
    <w:rsid w:val="00DF1B2C"/>
    <w:rsid w:val="00DF3DF4"/>
    <w:rsid w:val="00DF4504"/>
    <w:rsid w:val="00E02267"/>
    <w:rsid w:val="00E036FC"/>
    <w:rsid w:val="00E0419D"/>
    <w:rsid w:val="00E05FA4"/>
    <w:rsid w:val="00E16CD9"/>
    <w:rsid w:val="00E17672"/>
    <w:rsid w:val="00E17E6C"/>
    <w:rsid w:val="00E17EDB"/>
    <w:rsid w:val="00E23144"/>
    <w:rsid w:val="00E234E3"/>
    <w:rsid w:val="00E261C6"/>
    <w:rsid w:val="00E27706"/>
    <w:rsid w:val="00E33AA2"/>
    <w:rsid w:val="00E467F2"/>
    <w:rsid w:val="00E47732"/>
    <w:rsid w:val="00E55C1E"/>
    <w:rsid w:val="00E60715"/>
    <w:rsid w:val="00E61126"/>
    <w:rsid w:val="00E62444"/>
    <w:rsid w:val="00E62917"/>
    <w:rsid w:val="00E73DD2"/>
    <w:rsid w:val="00E7544F"/>
    <w:rsid w:val="00E772DA"/>
    <w:rsid w:val="00E906EF"/>
    <w:rsid w:val="00EA1D74"/>
    <w:rsid w:val="00EA2990"/>
    <w:rsid w:val="00EA79DE"/>
    <w:rsid w:val="00EB2A5B"/>
    <w:rsid w:val="00ED0AB7"/>
    <w:rsid w:val="00ED789D"/>
    <w:rsid w:val="00EE60AD"/>
    <w:rsid w:val="00EF1970"/>
    <w:rsid w:val="00EF3EAA"/>
    <w:rsid w:val="00F01FCB"/>
    <w:rsid w:val="00F04869"/>
    <w:rsid w:val="00F108E3"/>
    <w:rsid w:val="00F16A84"/>
    <w:rsid w:val="00F212A7"/>
    <w:rsid w:val="00F21DC8"/>
    <w:rsid w:val="00F236A7"/>
    <w:rsid w:val="00F243A1"/>
    <w:rsid w:val="00F33969"/>
    <w:rsid w:val="00F34ACF"/>
    <w:rsid w:val="00F41B08"/>
    <w:rsid w:val="00F43E32"/>
    <w:rsid w:val="00F5464F"/>
    <w:rsid w:val="00F56118"/>
    <w:rsid w:val="00F57B1A"/>
    <w:rsid w:val="00F57CF1"/>
    <w:rsid w:val="00F6085F"/>
    <w:rsid w:val="00F634DD"/>
    <w:rsid w:val="00F664DC"/>
    <w:rsid w:val="00F8108F"/>
    <w:rsid w:val="00F872F5"/>
    <w:rsid w:val="00F913DF"/>
    <w:rsid w:val="00F9326A"/>
    <w:rsid w:val="00F94E01"/>
    <w:rsid w:val="00FA2F68"/>
    <w:rsid w:val="00FB6016"/>
    <w:rsid w:val="00FB6936"/>
    <w:rsid w:val="00FB7E04"/>
    <w:rsid w:val="00FC5B33"/>
    <w:rsid w:val="00FD5409"/>
    <w:rsid w:val="00FE36D4"/>
    <w:rsid w:val="00FE3D97"/>
    <w:rsid w:val="00FF693D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DC3170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17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317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C317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C317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C317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3170"/>
    <w:pPr>
      <w:spacing w:before="240" w:after="60"/>
      <w:outlineLvl w:val="5"/>
    </w:pPr>
    <w:rPr>
      <w:rFonts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C317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9"/>
    <w:qFormat/>
    <w:rsid w:val="00DC317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DC3170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17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317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C317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C3170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C3170"/>
    <w:rPr>
      <w:rFonts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C3170"/>
    <w:rPr>
      <w:rFonts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C3170"/>
    <w:rPr>
      <w:rFonts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C3170"/>
    <w:rPr>
      <w:rFonts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C3170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F108E3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108E3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F108E3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08E3"/>
    <w:rPr>
      <w:rFonts w:eastAsia="Times New Roman" w:cs="Times New Roman"/>
      <w:lang w:eastAsia="ru-RU"/>
    </w:rPr>
  </w:style>
  <w:style w:type="character" w:customStyle="1" w:styleId="rvts82">
    <w:name w:val="rvts82"/>
    <w:uiPriority w:val="99"/>
    <w:rsid w:val="007D08B2"/>
  </w:style>
  <w:style w:type="paragraph" w:customStyle="1" w:styleId="rvps12">
    <w:name w:val="rvps12"/>
    <w:basedOn w:val="a"/>
    <w:uiPriority w:val="99"/>
    <w:rsid w:val="009560DE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a7">
    <w:name w:val="List Paragraph"/>
    <w:basedOn w:val="a"/>
    <w:link w:val="a8"/>
    <w:uiPriority w:val="99"/>
    <w:qFormat/>
    <w:rsid w:val="00DC3170"/>
    <w:pPr>
      <w:ind w:left="720"/>
      <w:contextualSpacing/>
    </w:pPr>
    <w:rPr>
      <w:rFonts w:cs="Times New Roman"/>
      <w:szCs w:val="20"/>
    </w:rPr>
  </w:style>
  <w:style w:type="paragraph" w:customStyle="1" w:styleId="a9">
    <w:name w:val="Нормальний текст"/>
    <w:basedOn w:val="a"/>
    <w:link w:val="aa"/>
    <w:uiPriority w:val="99"/>
    <w:rsid w:val="00034001"/>
    <w:pPr>
      <w:spacing w:before="120"/>
      <w:ind w:firstLine="567"/>
    </w:pPr>
    <w:rPr>
      <w:rFonts w:ascii="Antiqua" w:hAnsi="Antiqua" w:cs="Times New Roman"/>
      <w:sz w:val="20"/>
      <w:szCs w:val="20"/>
      <w:lang w:eastAsia="ru-RU"/>
    </w:rPr>
  </w:style>
  <w:style w:type="character" w:customStyle="1" w:styleId="aa">
    <w:name w:val="Нормальний текст Знак"/>
    <w:link w:val="a9"/>
    <w:uiPriority w:val="99"/>
    <w:locked/>
    <w:rsid w:val="00034001"/>
    <w:rPr>
      <w:rFonts w:ascii="Antiqua" w:hAnsi="Antiqua"/>
      <w:sz w:val="20"/>
      <w:lang w:val="uk-UA" w:eastAsia="ru-RU"/>
    </w:rPr>
  </w:style>
  <w:style w:type="table" w:customStyle="1" w:styleId="-411">
    <w:name w:val="Таблица-сетка 4 — акцент 11"/>
    <w:uiPriority w:val="99"/>
    <w:rsid w:val="00034001"/>
    <w:rPr>
      <w:rFonts w:cs="Calibri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47732"/>
    <w:rPr>
      <w:rFonts w:ascii="Times New Roman" w:hAnsi="Times New Roman" w:cs="Times New Roman"/>
      <w:sz w:val="2"/>
      <w:szCs w:val="2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03C60"/>
    <w:rPr>
      <w:rFonts w:ascii="Times New Roman" w:hAnsi="Times New Roman" w:cs="Times New Roman"/>
      <w:sz w:val="2"/>
      <w:lang w:eastAsia="ru-RU"/>
    </w:rPr>
  </w:style>
  <w:style w:type="paragraph" w:customStyle="1" w:styleId="Default">
    <w:name w:val="Default"/>
    <w:uiPriority w:val="99"/>
    <w:rsid w:val="00C300E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3F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13BB9"/>
    <w:rPr>
      <w:rFonts w:ascii="Courier New" w:hAnsi="Courier New" w:cs="Times New Roman"/>
      <w:sz w:val="20"/>
      <w:lang w:eastAsia="ru-RU"/>
    </w:rPr>
  </w:style>
  <w:style w:type="paragraph" w:styleId="ad">
    <w:name w:val="Normal (Web)"/>
    <w:aliases w:val="Обычный (Web)"/>
    <w:basedOn w:val="a"/>
    <w:uiPriority w:val="99"/>
    <w:semiHidden/>
    <w:rsid w:val="00F634D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TableGrid">
    <w:name w:val="TableGrid"/>
    <w:uiPriority w:val="99"/>
    <w:rsid w:val="003D7616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99"/>
    <w:rsid w:val="006D135C"/>
    <w:pPr>
      <w:widowControl w:val="0"/>
      <w:autoSpaceDE w:val="0"/>
      <w:autoSpaceDN w:val="0"/>
      <w:ind w:left="216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uiPriority w:val="99"/>
    <w:locked/>
    <w:rsid w:val="006D135C"/>
    <w:rPr>
      <w:rFonts w:ascii="Times New Roman" w:hAnsi="Times New Roman" w:cs="Times New Roman"/>
      <w:sz w:val="26"/>
      <w:lang w:eastAsia="en-US"/>
    </w:rPr>
  </w:style>
  <w:style w:type="paragraph" w:styleId="af0">
    <w:name w:val="No Spacing"/>
    <w:basedOn w:val="a"/>
    <w:uiPriority w:val="99"/>
    <w:qFormat/>
    <w:rsid w:val="00DC3170"/>
    <w:rPr>
      <w:szCs w:val="32"/>
    </w:rPr>
  </w:style>
  <w:style w:type="paragraph" w:styleId="af1">
    <w:name w:val="Title"/>
    <w:basedOn w:val="a"/>
    <w:next w:val="a"/>
    <w:link w:val="af2"/>
    <w:uiPriority w:val="99"/>
    <w:qFormat/>
    <w:rsid w:val="00DC317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DC3170"/>
    <w:rPr>
      <w:rFonts w:ascii="Cambria" w:hAnsi="Cambria" w:cs="Times New Roman"/>
      <w:b/>
      <w:kern w:val="28"/>
      <w:sz w:val="32"/>
    </w:rPr>
  </w:style>
  <w:style w:type="paragraph" w:styleId="af3">
    <w:name w:val="Subtitle"/>
    <w:basedOn w:val="a"/>
    <w:next w:val="a"/>
    <w:link w:val="af4"/>
    <w:uiPriority w:val="99"/>
    <w:qFormat/>
    <w:rsid w:val="00DC3170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4">
    <w:name w:val="Подзаголовок Знак"/>
    <w:basedOn w:val="a0"/>
    <w:link w:val="af3"/>
    <w:uiPriority w:val="99"/>
    <w:locked/>
    <w:rsid w:val="00DC3170"/>
    <w:rPr>
      <w:rFonts w:ascii="Cambria" w:hAnsi="Cambria" w:cs="Times New Roman"/>
      <w:sz w:val="24"/>
    </w:rPr>
  </w:style>
  <w:style w:type="character" w:styleId="af5">
    <w:name w:val="Strong"/>
    <w:basedOn w:val="a0"/>
    <w:uiPriority w:val="99"/>
    <w:qFormat/>
    <w:rsid w:val="00DC3170"/>
    <w:rPr>
      <w:rFonts w:cs="Times New Roman"/>
      <w:b/>
    </w:rPr>
  </w:style>
  <w:style w:type="character" w:styleId="af6">
    <w:name w:val="Emphasis"/>
    <w:basedOn w:val="a0"/>
    <w:uiPriority w:val="99"/>
    <w:qFormat/>
    <w:rsid w:val="00DC3170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DC3170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99"/>
    <w:locked/>
    <w:rsid w:val="00DC3170"/>
    <w:rPr>
      <w:rFonts w:cs="Times New Roman"/>
      <w:i/>
      <w:sz w:val="24"/>
    </w:rPr>
  </w:style>
  <w:style w:type="paragraph" w:styleId="af7">
    <w:name w:val="Intense Quote"/>
    <w:basedOn w:val="a"/>
    <w:next w:val="a"/>
    <w:link w:val="af8"/>
    <w:uiPriority w:val="99"/>
    <w:qFormat/>
    <w:rsid w:val="00DC3170"/>
    <w:pPr>
      <w:ind w:left="720" w:right="720"/>
    </w:pPr>
    <w:rPr>
      <w:rFonts w:cs="Times New Roman"/>
      <w:b/>
      <w:i/>
      <w:szCs w:val="20"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DC3170"/>
    <w:rPr>
      <w:rFonts w:cs="Times New Roman"/>
      <w:b/>
      <w:i/>
      <w:sz w:val="24"/>
    </w:rPr>
  </w:style>
  <w:style w:type="character" w:styleId="af9">
    <w:name w:val="Subtle Emphasis"/>
    <w:basedOn w:val="a0"/>
    <w:uiPriority w:val="99"/>
    <w:qFormat/>
    <w:rsid w:val="00DC3170"/>
    <w:rPr>
      <w:rFonts w:cs="Times New Roman"/>
      <w:i/>
      <w:color w:val="5A5A5A"/>
    </w:rPr>
  </w:style>
  <w:style w:type="character" w:styleId="afa">
    <w:name w:val="Intense Emphasis"/>
    <w:basedOn w:val="a0"/>
    <w:uiPriority w:val="99"/>
    <w:qFormat/>
    <w:rsid w:val="00DC3170"/>
    <w:rPr>
      <w:rFonts w:cs="Times New Roman"/>
      <w:b/>
      <w:i/>
      <w:sz w:val="24"/>
      <w:u w:val="single"/>
    </w:rPr>
  </w:style>
  <w:style w:type="character" w:styleId="afb">
    <w:name w:val="Subtle Reference"/>
    <w:basedOn w:val="a0"/>
    <w:uiPriority w:val="99"/>
    <w:qFormat/>
    <w:rsid w:val="00DC3170"/>
    <w:rPr>
      <w:rFonts w:cs="Times New Roman"/>
      <w:sz w:val="24"/>
      <w:u w:val="single"/>
    </w:rPr>
  </w:style>
  <w:style w:type="character" w:styleId="afc">
    <w:name w:val="Intense Reference"/>
    <w:basedOn w:val="a0"/>
    <w:uiPriority w:val="99"/>
    <w:qFormat/>
    <w:rsid w:val="00DC3170"/>
    <w:rPr>
      <w:rFonts w:cs="Times New Roman"/>
      <w:b/>
      <w:sz w:val="24"/>
      <w:u w:val="single"/>
    </w:rPr>
  </w:style>
  <w:style w:type="character" w:styleId="afd">
    <w:name w:val="Book Title"/>
    <w:basedOn w:val="a0"/>
    <w:uiPriority w:val="99"/>
    <w:qFormat/>
    <w:rsid w:val="00DC3170"/>
    <w:rPr>
      <w:rFonts w:ascii="Cambria" w:hAnsi="Cambria" w:cs="Times New Roman"/>
      <w:b/>
      <w:i/>
      <w:sz w:val="24"/>
    </w:rPr>
  </w:style>
  <w:style w:type="paragraph" w:styleId="afe">
    <w:name w:val="TOC Heading"/>
    <w:basedOn w:val="1"/>
    <w:next w:val="a"/>
    <w:uiPriority w:val="99"/>
    <w:qFormat/>
    <w:rsid w:val="00DC3170"/>
    <w:pPr>
      <w:outlineLvl w:val="9"/>
    </w:pPr>
  </w:style>
  <w:style w:type="character" w:customStyle="1" w:styleId="a8">
    <w:name w:val="Абзац списка Знак"/>
    <w:link w:val="a7"/>
    <w:uiPriority w:val="99"/>
    <w:locked/>
    <w:rsid w:val="00AC4904"/>
    <w:rPr>
      <w:sz w:val="24"/>
    </w:rPr>
  </w:style>
  <w:style w:type="table" w:styleId="aff">
    <w:name w:val="Table Grid"/>
    <w:basedOn w:val="a1"/>
    <w:uiPriority w:val="99"/>
    <w:rsid w:val="00C4604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9546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0">
    <w:name w:val="page number"/>
    <w:basedOn w:val="a0"/>
    <w:uiPriority w:val="99"/>
    <w:locked/>
    <w:rsid w:val="004572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17275</Words>
  <Characters>9847</Characters>
  <Application>Microsoft Office Word</Application>
  <DocSecurity>0</DocSecurity>
  <Lines>82</Lines>
  <Paragraphs>54</Paragraphs>
  <ScaleCrop>false</ScaleCrop>
  <Company/>
  <LinksUpToDate>false</LinksUpToDate>
  <CharactersWithSpaces>27068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Типової форми Прогнозу місцевого бюджету</dc:title>
  <dc:creator>Пользователь Windows</dc:creator>
  <cp:lastModifiedBy>user</cp:lastModifiedBy>
  <cp:revision>2</cp:revision>
  <cp:lastPrinted>2025-08-25T09:23:00Z</cp:lastPrinted>
  <dcterms:created xsi:type="dcterms:W3CDTF">2025-08-25T09:23:00Z</dcterms:created>
  <dcterms:modified xsi:type="dcterms:W3CDTF">2025-08-25T09:23:00Z</dcterms:modified>
</cp:coreProperties>
</file>