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BB4A" w14:textId="77777777" w:rsidR="001D3E59" w:rsidRPr="00290631" w:rsidRDefault="001D3E59" w:rsidP="001D3E59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17E08C2" wp14:editId="3B22EFE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8FBC7F8" w14:textId="77777777" w:rsidR="001D3E59" w:rsidRPr="004D0572" w:rsidRDefault="001D3E59" w:rsidP="001D3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E3356E0" w14:textId="77777777" w:rsidR="001D3E59" w:rsidRPr="004D0572" w:rsidRDefault="001D3E59" w:rsidP="001D3E5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2298AACA" w14:textId="7484FEF0" w:rsidR="001D3E59" w:rsidRPr="00E87C49" w:rsidRDefault="001D3E59" w:rsidP="001D3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П’ЯТДЕСЯТ ПЕРША 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5DCD1EF" w14:textId="77777777" w:rsidR="001D3E59" w:rsidRPr="00E87C49" w:rsidRDefault="001D3E59" w:rsidP="001D3E59">
      <w:pPr>
        <w:spacing w:after="0"/>
        <w:jc w:val="center"/>
        <w:rPr>
          <w:rStyle w:val="32pt"/>
          <w:rFonts w:eastAsiaTheme="minorHAnsi"/>
          <w:bCs w:val="0"/>
        </w:rPr>
      </w:pPr>
    </w:p>
    <w:p w14:paraId="136EB3C4" w14:textId="77777777" w:rsidR="001D3E59" w:rsidRPr="00A91F36" w:rsidRDefault="001D3E59" w:rsidP="001D3E59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18F315EF" w14:textId="4C53D261" w:rsidR="001D3E59" w:rsidRPr="00EB43BB" w:rsidRDefault="001D3E59" w:rsidP="001D3E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A7507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№</w:t>
      </w:r>
      <w:r w:rsidR="004D43D2">
        <w:rPr>
          <w:rFonts w:ascii="Times New Roman" w:hAnsi="Times New Roman" w:cs="Times New Roman"/>
          <w:b/>
          <w:sz w:val="24"/>
          <w:szCs w:val="24"/>
          <w:lang w:val="uk-UA"/>
        </w:rPr>
        <w:t>3153</w:t>
      </w:r>
    </w:p>
    <w:p w14:paraId="409D4059" w14:textId="77777777" w:rsidR="001D3E59" w:rsidRDefault="001D3E59" w:rsidP="001D3E59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Про передачу коштів </w:t>
      </w:r>
      <w:bookmarkStart w:id="0" w:name="bookmark1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 бюджету</w:t>
      </w:r>
    </w:p>
    <w:p w14:paraId="6BBA7DF5" w14:textId="4F40AE84" w:rsidR="001D3E59" w:rsidRPr="001E2081" w:rsidRDefault="001D3E59" w:rsidP="001D3E59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Почаївської міської територіальної громади до бюджету Кременецької міської територіальної громади </w:t>
      </w:r>
      <w:r w:rsidR="002370D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 співфінансування цільової програми</w:t>
      </w:r>
    </w:p>
    <w:p w14:paraId="6C7F01DC" w14:textId="77777777" w:rsidR="001D3E59" w:rsidRPr="001E2081" w:rsidRDefault="001D3E59" w:rsidP="001D3E59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F773773" w14:textId="516FC887" w:rsidR="001D3E59" w:rsidRDefault="001D3E59" w:rsidP="001D3E59">
      <w:pPr>
        <w:widowControl w:val="0"/>
        <w:spacing w:after="0" w:line="326" w:lineRule="exact"/>
        <w:ind w:firstLine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сфері охорони здоров’я населення Почаївської територіальної громади на 2025 рік,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ст. 93,101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Бюджетного кодексу України,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керуючись Законом України «Про місцеве самоврядування в Україні»,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Почаївська міська рада</w:t>
      </w:r>
    </w:p>
    <w:p w14:paraId="7B973195" w14:textId="77777777" w:rsidR="001D3E59" w:rsidRPr="001E2081" w:rsidRDefault="001D3E59" w:rsidP="001D3E59">
      <w:pPr>
        <w:widowControl w:val="0"/>
        <w:spacing w:after="0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7256162A" w14:textId="77777777" w:rsidR="001D3E59" w:rsidRPr="001E2081" w:rsidRDefault="001D3E59" w:rsidP="001D3E59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6B9D3EF8" w14:textId="168FF9DF" w:rsidR="001D3E59" w:rsidRDefault="001D3E59" w:rsidP="001D3E59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у 2025 бюджетному році цільову програму Кременецької міської територіальної громади </w:t>
      </w:r>
      <w:r w:rsidR="007227E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Місцева програма з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абезпечення лікарськими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та технічними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засобами пільгових верств насел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ення на 2025-2027 роки», в сумі </w:t>
      </w:r>
      <w:bookmarkStart w:id="2" w:name="_Hlk154927065"/>
      <w:r w:rsidR="001130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000 (</w:t>
      </w:r>
      <w:r w:rsidR="001130C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двісті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тисяч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)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грн.</w:t>
      </w:r>
    </w:p>
    <w:p w14:paraId="0A8597B9" w14:textId="77777777" w:rsidR="001D3E59" w:rsidRPr="001E2081" w:rsidRDefault="001D3E59" w:rsidP="001D3E59">
      <w:pPr>
        <w:widowControl w:val="0"/>
        <w:tabs>
          <w:tab w:val="left" w:pos="13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421A4FC6" w14:textId="7900713A" w:rsidR="001D3E59" w:rsidRPr="00EB43BB" w:rsidRDefault="001D3E59" w:rsidP="001D3E59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Передати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Почаївської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міської територіальної громади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 бюджету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міської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міжбюджетний трансферт у вигляді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субвенці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="001130C9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0000</w:t>
      </w:r>
      <w:r w:rsidRPr="003A35CB">
        <w:rPr>
          <w:rFonts w:ascii="Times New Roman" w:hAnsi="Times New Roman" w:cs="Times New Roman"/>
          <w:sz w:val="24"/>
          <w:szCs w:val="24"/>
          <w:lang w:val="uk-UA"/>
        </w:rPr>
        <w:t xml:space="preserve"> ( </w:t>
      </w:r>
      <w:r w:rsidR="001130C9">
        <w:rPr>
          <w:rFonts w:ascii="Times New Roman" w:hAnsi="Times New Roman" w:cs="Times New Roman"/>
          <w:sz w:val="24"/>
          <w:szCs w:val="24"/>
          <w:lang w:val="uk-UA"/>
        </w:rPr>
        <w:t>двісті</w:t>
      </w:r>
      <w:r w:rsidRPr="003A35CB">
        <w:rPr>
          <w:rFonts w:ascii="Times New Roman" w:hAnsi="Times New Roman" w:cs="Times New Roman"/>
          <w:sz w:val="24"/>
          <w:szCs w:val="24"/>
          <w:lang w:val="uk-UA"/>
        </w:rPr>
        <w:t xml:space="preserve"> тисяч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грн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для співфінансування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цільової </w:t>
      </w:r>
      <w:r w:rsidR="006C1B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 п.1 даного рішення. </w:t>
      </w:r>
    </w:p>
    <w:p w14:paraId="06734848" w14:textId="77777777" w:rsidR="001D3E59" w:rsidRPr="001E2081" w:rsidRDefault="001D3E59" w:rsidP="001D3E59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8B479" w14:textId="77777777" w:rsidR="001D3E59" w:rsidRDefault="001D3E59" w:rsidP="001D3E59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hAnsi="Times New Roman" w:cs="Times New Roman"/>
          <w:sz w:val="24"/>
          <w:szCs w:val="24"/>
          <w:lang w:val="uk-UA"/>
        </w:rPr>
        <w:t>Затвердити текст договору про передачу та прийняття іншої с</w:t>
      </w:r>
      <w:r>
        <w:rPr>
          <w:rFonts w:ascii="Times New Roman" w:hAnsi="Times New Roman" w:cs="Times New Roman"/>
          <w:sz w:val="24"/>
          <w:szCs w:val="24"/>
          <w:lang w:val="uk-UA"/>
        </w:rPr>
        <w:t>убвенції з бюджету Почаївської міської територіальної громади до бюджету Кременецької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громади, згідно з додатком 1.</w:t>
      </w:r>
    </w:p>
    <w:p w14:paraId="56202FEA" w14:textId="77777777" w:rsidR="001D3E59" w:rsidRPr="001E2081" w:rsidRDefault="001D3E59" w:rsidP="001D3E59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DB196C" w14:textId="77777777" w:rsidR="001D3E59" w:rsidRPr="00EB43BB" w:rsidRDefault="001D3E59" w:rsidP="001D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3BB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43BB">
        <w:rPr>
          <w:rFonts w:ascii="Times New Roman" w:hAnsi="Times New Roman" w:cs="Times New Roman"/>
          <w:sz w:val="24"/>
          <w:szCs w:val="24"/>
          <w:lang w:val="uk-UA"/>
        </w:rPr>
        <w:t>Доручити міському голові Василю БОЙКУ підписати договір  про передачу та прийняття видатків іншої субвенції з бюджету Почаївської міської територіальної громади до бюджету  Кременецької міської територіальної громади.</w:t>
      </w:r>
    </w:p>
    <w:p w14:paraId="0F6B0FEA" w14:textId="77777777" w:rsidR="001D3E59" w:rsidRDefault="001D3E59" w:rsidP="001D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E4905" w14:textId="77777777" w:rsidR="001D3E59" w:rsidRPr="001E2081" w:rsidRDefault="001D3E59" w:rsidP="001D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E208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, бюджету,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08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1E2081">
        <w:rPr>
          <w:rFonts w:ascii="Times New Roman" w:hAnsi="Times New Roman" w:cs="Times New Roman"/>
          <w:sz w:val="24"/>
          <w:szCs w:val="24"/>
        </w:rPr>
        <w:t>.</w:t>
      </w:r>
    </w:p>
    <w:p w14:paraId="6B540374" w14:textId="77777777" w:rsidR="001D3E59" w:rsidRDefault="001D3E59" w:rsidP="001D3E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573A7" w14:textId="4024C116" w:rsidR="001D3E59" w:rsidRDefault="006C1B8F" w:rsidP="001D3E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Василь БОЙКО</w:t>
      </w:r>
    </w:p>
    <w:bookmarkEnd w:id="1"/>
    <w:p w14:paraId="5940E771" w14:textId="0437899B" w:rsidR="001D3E59" w:rsidRPr="00EB43BB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14:paraId="29FBB9BC" w14:textId="7F5E4DE1" w:rsidR="001D3E59" w:rsidRPr="00EB43BB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14:paraId="3911396A" w14:textId="77777777" w:rsidR="001D3E59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4D4625C" w14:textId="77777777" w:rsidR="001D3E59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2CE4EDF" w14:textId="77777777" w:rsidR="001D3E59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14:paraId="7FB4869E" w14:textId="77777777" w:rsidR="001D3E59" w:rsidRPr="00EB43BB" w:rsidRDefault="001D3E59" w:rsidP="001D3E59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</w:t>
      </w:r>
    </w:p>
    <w:p w14:paraId="4B9D51C9" w14:textId="77777777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lastRenderedPageBreak/>
        <w:t>Додаток 1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до рішення </w:t>
      </w:r>
    </w:p>
    <w:p w14:paraId="6D57658E" w14:textId="720C668F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міської ради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№</w:t>
      </w:r>
      <w:r w:rsidR="00D54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3153</w:t>
      </w:r>
    </w:p>
    <w:p w14:paraId="4CDFFB1C" w14:textId="091F7F2E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від « </w:t>
      </w:r>
      <w:r w:rsidR="00D54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» </w:t>
      </w:r>
      <w:r w:rsidR="003D7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грудня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4</w:t>
      </w: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року</w:t>
      </w:r>
    </w:p>
    <w:p w14:paraId="47B14B32" w14:textId="77777777" w:rsidR="001D3E59" w:rsidRPr="00396219" w:rsidRDefault="001D3E59" w:rsidP="001D3E59">
      <w:pPr>
        <w:keepNext/>
        <w:keepLines/>
        <w:widowControl w:val="0"/>
        <w:tabs>
          <w:tab w:val="left" w:pos="6379"/>
        </w:tabs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779E97D3" w14:textId="77777777" w:rsidR="001D3E59" w:rsidRPr="00396219" w:rsidRDefault="001D3E59" w:rsidP="001D3E59">
      <w:pPr>
        <w:widowControl w:val="0"/>
        <w:tabs>
          <w:tab w:val="left" w:pos="6379"/>
        </w:tabs>
        <w:spacing w:after="0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ДОГОВІР</w:t>
      </w:r>
    </w:p>
    <w:p w14:paraId="1A33719D" w14:textId="77777777" w:rsidR="001D3E59" w:rsidRPr="00396219" w:rsidRDefault="001D3E59" w:rsidP="001D3E59">
      <w:pPr>
        <w:widowControl w:val="0"/>
        <w:tabs>
          <w:tab w:val="left" w:pos="6379"/>
        </w:tabs>
        <w:spacing w:after="0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про передачу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іншої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субвенції 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бюджету 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Почаївської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міської </w:t>
      </w:r>
      <w:r w:rsidRPr="0039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територіальної громади до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бюджету Кременецької міської територіальної громади</w:t>
      </w:r>
    </w:p>
    <w:p w14:paraId="429A6688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385C48B9" w14:textId="3A3A8333" w:rsidR="001D3E59" w:rsidRPr="00154DCA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D95A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Цей договір укладено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сфері охорони здоров’я населення Почаївської міської територіальної громади,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виконання та фінансування яких передбачено 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цільовою програмою Кременецької міської ради Місцева цільова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програм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абезпечення лікарськими та технічними засобами пільгових верств населення на 202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-202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роки».</w:t>
      </w:r>
    </w:p>
    <w:p w14:paraId="475EA877" w14:textId="77777777" w:rsidR="001D3E59" w:rsidRPr="001E2081" w:rsidRDefault="001D3E59" w:rsidP="001D3E59">
      <w:pPr>
        <w:widowControl w:val="0"/>
        <w:tabs>
          <w:tab w:val="left" w:pos="6379"/>
        </w:tabs>
        <w:spacing w:after="292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вимог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Бюджетного кодексу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1571AD1B" w14:textId="77777777" w:rsidR="001D3E59" w:rsidRPr="001E2081" w:rsidRDefault="001D3E59" w:rsidP="001D3E59">
      <w:pPr>
        <w:keepNext/>
        <w:keepLines/>
        <w:widowControl w:val="0"/>
        <w:tabs>
          <w:tab w:val="left" w:pos="6379"/>
        </w:tabs>
        <w:spacing w:after="0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І. СТОРОНИ ДОГОВОРУ</w:t>
      </w:r>
    </w:p>
    <w:p w14:paraId="450AB069" w14:textId="77777777" w:rsidR="001D3E59" w:rsidRDefault="001D3E59" w:rsidP="001D3E59">
      <w:pPr>
        <w:widowControl w:val="0"/>
        <w:tabs>
          <w:tab w:val="left" w:pos="6379"/>
        </w:tabs>
        <w:spacing w:after="304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1.1. Сторонами договору є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міського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голови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Андрія Смаглюка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голови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Василя Бойка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які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діють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Закону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"Про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місцеве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самоврядування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".</w:t>
      </w:r>
    </w:p>
    <w:p w14:paraId="461E908C" w14:textId="77777777" w:rsidR="001D3E59" w:rsidRDefault="001D3E59" w:rsidP="001D3E59">
      <w:pPr>
        <w:widowControl w:val="0"/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II. ПРЕДМЕТ ДОГОВОРУ</w:t>
      </w:r>
    </w:p>
    <w:p w14:paraId="1D9C33FC" w14:textId="265BE063" w:rsidR="001D3E59" w:rsidRPr="00BA7D00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2.1. Предметом договору є передача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бюджету Почаївської міської територіальної громади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Кременецької міської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міжбюджетного трансферту у вигляді іншої субвенції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 сумі 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0</w:t>
      </w:r>
      <w:r w:rsidRPr="00FE5B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000 (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двісті</w:t>
      </w:r>
      <w:r w:rsidRPr="00FE5B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тисяч)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грн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 співфінансування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Програми Кременецької територіальної громади, для забезпечення додаткових заходів у сфері охорони здоров’я населення Почаївської територіальної громади , а саме:</w:t>
      </w:r>
    </w:p>
    <w:p w14:paraId="0C831E52" w14:textId="77777777" w:rsidR="001D3E59" w:rsidRDefault="001D3E59" w:rsidP="001D3E59">
      <w:pPr>
        <w:tabs>
          <w:tab w:val="left" w:pos="637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1D2EE61D" w14:textId="6F0179D6" w:rsidR="001D3E59" w:rsidRDefault="00E771BE" w:rsidP="001D3E59">
      <w:pPr>
        <w:tabs>
          <w:tab w:val="left" w:pos="637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-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Місцева п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рограма</w:t>
      </w:r>
      <w:r w:rsidR="001D3E59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</w:t>
      </w:r>
      <w:r w:rsidR="001D3E59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абезпечення лікарськими 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та технічними </w:t>
      </w:r>
      <w:r w:rsidR="001D3E59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засобами пільгових верств населенн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я на 202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-202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7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роки, в сумі 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200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000</w:t>
      </w:r>
      <w:r w:rsidR="001D3E59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(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двісті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тисяч </w:t>
      </w:r>
      <w:r w:rsidR="001D3E59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)</w:t>
      </w:r>
      <w:r w:rsidR="001D3E5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грн.</w:t>
      </w:r>
    </w:p>
    <w:p w14:paraId="2B3EB476" w14:textId="77777777" w:rsidR="001D3E59" w:rsidRDefault="001D3E59" w:rsidP="001D3E59">
      <w:pPr>
        <w:tabs>
          <w:tab w:val="left" w:pos="637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1F9DE91D" w14:textId="77777777" w:rsidR="001D3E59" w:rsidRDefault="001D3E59" w:rsidP="001D3E59">
      <w:pPr>
        <w:tabs>
          <w:tab w:val="left" w:pos="6379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BE1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Ш. ПОРЯДОК ПЕРЕДАЧІ ТА ВИКОРИСТАННЯ ВИДАТКІВ</w:t>
      </w:r>
    </w:p>
    <w:p w14:paraId="0804B3A3" w14:textId="77777777" w:rsidR="001D3E59" w:rsidRPr="00B97890" w:rsidRDefault="001D3E59" w:rsidP="001D3E59">
      <w:pPr>
        <w:tabs>
          <w:tab w:val="left" w:pos="6379"/>
        </w:tabs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376C2D3C" w14:textId="277B5565" w:rsidR="001D3E59" w:rsidRPr="00B97890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3.1. Передача видатків здійснюється шляхом затвердження у видатках бюджету Поча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ївської міської територіальної громади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у 202</w:t>
      </w:r>
      <w:r w:rsidR="003D7C8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5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році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іншої субвенції до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Кременецької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міської територіальної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4C103967" w14:textId="77777777" w:rsidR="001D3E59" w:rsidRDefault="001D3E59" w:rsidP="001D3E59">
      <w:pPr>
        <w:widowControl w:val="0"/>
        <w:tabs>
          <w:tab w:val="left" w:pos="6379"/>
        </w:tabs>
        <w:spacing w:after="30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3.2.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Одержувач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коштів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зобов’язується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спрямувати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передбачені даним договором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фінансування таких заходів: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384"/>
        <w:gridCol w:w="3830"/>
      </w:tblGrid>
      <w:tr w:rsidR="001D3E59" w:rsidRPr="00822E0A" w14:paraId="34B72E82" w14:textId="77777777" w:rsidTr="00AD0BAE">
        <w:trPr>
          <w:trHeight w:val="585"/>
        </w:trPr>
        <w:tc>
          <w:tcPr>
            <w:tcW w:w="5384" w:type="dxa"/>
          </w:tcPr>
          <w:p w14:paraId="2576FFC2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E358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Назва заходу</w:t>
            </w:r>
          </w:p>
        </w:tc>
        <w:tc>
          <w:tcPr>
            <w:tcW w:w="3830" w:type="dxa"/>
          </w:tcPr>
          <w:p w14:paraId="613E790F" w14:textId="77777777" w:rsidR="001D3E59" w:rsidRPr="00822E0A" w:rsidRDefault="001D3E59" w:rsidP="00AD0B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Обсяги</w:t>
            </w:r>
            <w:r w:rsidRPr="00E3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фінансування на 2024 рік (</w:t>
            </w:r>
            <w:proofErr w:type="spellStart"/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тис.грн</w:t>
            </w:r>
            <w:proofErr w:type="spellEnd"/>
            <w:r w:rsidRPr="00822E0A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.)</w:t>
            </w:r>
          </w:p>
        </w:tc>
      </w:tr>
      <w:tr w:rsidR="001D3E59" w:rsidRPr="00822E0A" w14:paraId="2A170A50" w14:textId="77777777" w:rsidTr="00AD0BAE">
        <w:trPr>
          <w:trHeight w:val="483"/>
        </w:trPr>
        <w:tc>
          <w:tcPr>
            <w:tcW w:w="5384" w:type="dxa"/>
          </w:tcPr>
          <w:p w14:paraId="728006F1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Забезпечення лікарськими засобами пільгових верств населення</w:t>
            </w:r>
          </w:p>
        </w:tc>
        <w:tc>
          <w:tcPr>
            <w:tcW w:w="3830" w:type="dxa"/>
          </w:tcPr>
          <w:p w14:paraId="349743F6" w14:textId="119B7AFD" w:rsidR="001D3E59" w:rsidRPr="00822E0A" w:rsidRDefault="003D7C8C" w:rsidP="00AD0BAE">
            <w:pPr>
              <w:tabs>
                <w:tab w:val="left" w:pos="6379"/>
              </w:tabs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8</w:t>
            </w:r>
            <w:r w:rsidR="001D3E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  <w:r w:rsidR="001D3E59"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,00</w:t>
            </w:r>
          </w:p>
        </w:tc>
      </w:tr>
      <w:tr w:rsidR="001D3E59" w:rsidRPr="00822E0A" w14:paraId="31E8A018" w14:textId="77777777" w:rsidTr="00AD0BAE">
        <w:trPr>
          <w:trHeight w:val="483"/>
        </w:trPr>
        <w:tc>
          <w:tcPr>
            <w:tcW w:w="5384" w:type="dxa"/>
          </w:tcPr>
          <w:p w14:paraId="50F35FA6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Забезпечення технічними засобами</w:t>
            </w:r>
          </w:p>
        </w:tc>
        <w:tc>
          <w:tcPr>
            <w:tcW w:w="3830" w:type="dxa"/>
          </w:tcPr>
          <w:p w14:paraId="23A9532D" w14:textId="055EC59E" w:rsidR="001D3E59" w:rsidRPr="00822E0A" w:rsidRDefault="003D7C8C" w:rsidP="00AD0BAE">
            <w:pPr>
              <w:tabs>
                <w:tab w:val="left" w:pos="6379"/>
              </w:tabs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120</w:t>
            </w:r>
            <w:r w:rsidR="001D3E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,00</w:t>
            </w:r>
          </w:p>
        </w:tc>
      </w:tr>
      <w:tr w:rsidR="001D3E59" w:rsidRPr="00822E0A" w14:paraId="20F07364" w14:textId="77777777" w:rsidTr="00AD0BAE">
        <w:tc>
          <w:tcPr>
            <w:tcW w:w="5384" w:type="dxa"/>
          </w:tcPr>
          <w:p w14:paraId="44527BC8" w14:textId="77777777" w:rsidR="001D3E59" w:rsidRPr="00822E0A" w:rsidRDefault="001D3E59" w:rsidP="00AD0BAE">
            <w:pPr>
              <w:tabs>
                <w:tab w:val="left" w:pos="6379"/>
              </w:tabs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Всього:</w:t>
            </w:r>
          </w:p>
        </w:tc>
        <w:tc>
          <w:tcPr>
            <w:tcW w:w="3830" w:type="dxa"/>
          </w:tcPr>
          <w:p w14:paraId="2B6370F0" w14:textId="51A25A75" w:rsidR="001D3E59" w:rsidRPr="00822E0A" w:rsidRDefault="003D7C8C" w:rsidP="00AD0BAE">
            <w:pPr>
              <w:tabs>
                <w:tab w:val="left" w:pos="6379"/>
              </w:tabs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20</w:t>
            </w:r>
            <w:r w:rsidR="001D3E59" w:rsidRPr="00822E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>0,00</w:t>
            </w:r>
          </w:p>
        </w:tc>
      </w:tr>
    </w:tbl>
    <w:p w14:paraId="4315BE45" w14:textId="77777777" w:rsidR="001D3E59" w:rsidRDefault="001D3E59" w:rsidP="001D3E59">
      <w:pPr>
        <w:pStyle w:val="a3"/>
        <w:widowControl w:val="0"/>
        <w:tabs>
          <w:tab w:val="left" w:pos="1330"/>
          <w:tab w:val="left" w:pos="6379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343133D6" w14:textId="77777777" w:rsidR="001D3E59" w:rsidRPr="001E2081" w:rsidRDefault="001D3E59" w:rsidP="001D3E59">
      <w:pPr>
        <w:widowControl w:val="0"/>
        <w:tabs>
          <w:tab w:val="left" w:pos="6379"/>
        </w:tabs>
        <w:spacing w:after="300" w:line="240" w:lineRule="auto"/>
        <w:ind w:firstLine="8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IV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ВІДПОВІДАЛЬНІСТЬ СТОРІН</w:t>
      </w:r>
    </w:p>
    <w:p w14:paraId="5E9E5941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двох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автентичних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примірниках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українською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мовою (по одному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кожній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із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). </w:t>
      </w:r>
    </w:p>
    <w:p w14:paraId="7BD2FB82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Сторони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несуть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відповідальність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або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неналежне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умов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lastRenderedPageBreak/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в порядку,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передбаченому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чинним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законодавством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6807B5D1" w14:textId="77777777" w:rsidR="001D3E59" w:rsidRDefault="001D3E59" w:rsidP="001D3E59">
      <w:pPr>
        <w:widowControl w:val="0"/>
        <w:tabs>
          <w:tab w:val="left" w:pos="6379"/>
        </w:tabs>
        <w:spacing w:after="300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</w:p>
    <w:p w14:paraId="0AD6FC0E" w14:textId="77777777" w:rsidR="001D3E59" w:rsidRPr="001E2081" w:rsidRDefault="001D3E59" w:rsidP="001D3E59">
      <w:pPr>
        <w:widowControl w:val="0"/>
        <w:tabs>
          <w:tab w:val="left" w:pos="6379"/>
        </w:tabs>
        <w:spacing w:after="300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СТРОКИ ДІЇ ДОГОВОРУ, ПОРЯДОК ВНЕСЕННЯ ЗМІН ТА ДОПОВНЕНЬ</w:t>
      </w:r>
    </w:p>
    <w:p w14:paraId="7490527D" w14:textId="156BC52F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набирає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чинності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з моменту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його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підписання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і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діє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31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грудня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3D7C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5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року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включно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5FB98875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Зміни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доповнення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вносяться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письмовою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згодою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додаткової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угоди.</w:t>
      </w:r>
    </w:p>
    <w:p w14:paraId="6BB4E4DD" w14:textId="77777777" w:rsidR="001D3E59" w:rsidRPr="0029063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14:paraId="15BCF5DD" w14:textId="77777777" w:rsidR="001D3E59" w:rsidRDefault="001D3E59" w:rsidP="001D3E59">
      <w:pPr>
        <w:widowControl w:val="0"/>
        <w:tabs>
          <w:tab w:val="left" w:pos="6379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uk-UA" w:bidi="uk-UA"/>
        </w:rPr>
        <w:t>VI</w:t>
      </w: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. РЕКВІЗИТИ СТОРІН</w:t>
      </w:r>
    </w:p>
    <w:p w14:paraId="0D30D144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4D8D71A" w14:textId="77777777" w:rsidR="001D3E59" w:rsidRPr="00B97890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47025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</w:t>
      </w: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47003, 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</w:t>
      </w:r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</w:t>
      </w:r>
    </w:p>
    <w:p w14:paraId="2DC0B92B" w14:textId="77777777" w:rsidR="001D3E59" w:rsidRPr="00B97890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Площа Тараса Шевченка 16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вул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Шевченка, 67</w:t>
      </w:r>
    </w:p>
    <w:p w14:paraId="558C6D5A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рада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рада</w:t>
      </w:r>
    </w:p>
    <w:p w14:paraId="074C0185" w14:textId="77777777" w:rsidR="001D3E59" w:rsidRPr="005A697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09E30D68" w14:textId="77777777" w:rsidR="001D3E59" w:rsidRPr="001E2081" w:rsidRDefault="001D3E59" w:rsidP="001D3E59">
      <w:pPr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аївський</w:t>
      </w:r>
      <w:proofErr w:type="spellEnd"/>
      <w:r w:rsidRPr="005A697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Кременецький міський голова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66860A33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3F4221F1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671CE51A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5A8E0C62" w14:textId="77777777" w:rsidR="001D3E59" w:rsidRPr="001E2081" w:rsidRDefault="001D3E59" w:rsidP="001D3E59">
      <w:pPr>
        <w:widowControl w:val="0"/>
        <w:tabs>
          <w:tab w:val="left" w:pos="6379"/>
        </w:tabs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____________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Василь БОЙКО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__________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_Андрій СМАГЛЮК</w:t>
      </w:r>
    </w:p>
    <w:p w14:paraId="167DE1B2" w14:textId="77777777" w:rsidR="001D3E59" w:rsidRPr="001E2081" w:rsidRDefault="001D3E59" w:rsidP="001D3E59">
      <w:pPr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483830" w14:textId="77777777" w:rsidR="001D3E59" w:rsidRPr="001E2081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BA07110" w14:textId="77777777" w:rsidR="001D3E59" w:rsidRPr="001E2081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51E54BE" w14:textId="77777777" w:rsidR="001D3E59" w:rsidRPr="001E2081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7A5E65F" w14:textId="77777777" w:rsidR="001D3E59" w:rsidRPr="00396219" w:rsidRDefault="001D3E59" w:rsidP="001D3E59">
      <w:pPr>
        <w:tabs>
          <w:tab w:val="left" w:pos="6379"/>
        </w:tabs>
        <w:autoSpaceDE w:val="0"/>
        <w:autoSpaceDN w:val="0"/>
        <w:adjustRightInd w:val="0"/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5D48A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Сергій МАМЧУР</w:t>
      </w:r>
    </w:p>
    <w:p w14:paraId="1283B331" w14:textId="77777777" w:rsidR="001D3E59" w:rsidRDefault="001D3E59" w:rsidP="001D3E59"/>
    <w:p w14:paraId="1BE1F2BF" w14:textId="77777777" w:rsidR="00507094" w:rsidRDefault="00507094"/>
    <w:sectPr w:rsidR="00507094" w:rsidSect="001D3E59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27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59"/>
    <w:rsid w:val="001130C9"/>
    <w:rsid w:val="001D3E59"/>
    <w:rsid w:val="00231566"/>
    <w:rsid w:val="002370D4"/>
    <w:rsid w:val="00243101"/>
    <w:rsid w:val="00245604"/>
    <w:rsid w:val="002F7A83"/>
    <w:rsid w:val="003D7C8C"/>
    <w:rsid w:val="004A7507"/>
    <w:rsid w:val="004D43D2"/>
    <w:rsid w:val="00507094"/>
    <w:rsid w:val="006C1B8F"/>
    <w:rsid w:val="007227E7"/>
    <w:rsid w:val="00913EE6"/>
    <w:rsid w:val="00B01BF7"/>
    <w:rsid w:val="00D54B27"/>
    <w:rsid w:val="00E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C408"/>
  <w15:chartTrackingRefBased/>
  <w15:docId w15:val="{2205254A-91D9-453B-B78B-65C9BFBC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59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5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D3E5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3E5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3E5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table" w:styleId="a4">
    <w:name w:val="Table Grid"/>
    <w:basedOn w:val="a1"/>
    <w:uiPriority w:val="39"/>
    <w:rsid w:val="001D3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626</Words>
  <Characters>4207</Characters>
  <Application>Microsoft Office Word</Application>
  <DocSecurity>0</DocSecurity>
  <Lines>131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9</cp:revision>
  <cp:lastPrinted>2024-12-13T07:56:00Z</cp:lastPrinted>
  <dcterms:created xsi:type="dcterms:W3CDTF">2024-11-27T12:40:00Z</dcterms:created>
  <dcterms:modified xsi:type="dcterms:W3CDTF">2024-12-13T07:56:00Z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702898b9-fff7-4a33-aac1-459a9a5dc266</vt:lpwstr>
  </property>
</Properties>
</file>