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110008" w14:paraId="0A5F3D47" w14:textId="77777777" w:rsidTr="00110008">
        <w:tc>
          <w:tcPr>
            <w:tcW w:w="5070" w:type="dxa"/>
          </w:tcPr>
          <w:p w14:paraId="2886B260" w14:textId="77777777" w:rsidR="00110008" w:rsidRDefault="00110008"/>
        </w:tc>
        <w:tc>
          <w:tcPr>
            <w:tcW w:w="4784" w:type="dxa"/>
          </w:tcPr>
          <w:p w14:paraId="5275C465" w14:textId="77777777" w:rsidR="00110008" w:rsidRDefault="00110008">
            <w:pPr>
              <w:suppressAutoHyphens/>
              <w:jc w:val="both"/>
              <w:rPr>
                <w:lang w:eastAsia="ar-SA"/>
              </w:rPr>
            </w:pPr>
            <w:r>
              <w:rPr>
                <w:lang w:eastAsia="ar-SA"/>
              </w:rPr>
              <w:t xml:space="preserve">                                                                                                   ЗАТВЕРДЖЕНО </w:t>
            </w:r>
          </w:p>
          <w:p w14:paraId="0AFC4763" w14:textId="77777777" w:rsidR="00110008" w:rsidRDefault="00110008">
            <w:pPr>
              <w:suppressAutoHyphens/>
              <w:jc w:val="both"/>
              <w:rPr>
                <w:lang w:eastAsia="ar-SA"/>
              </w:rPr>
            </w:pPr>
            <w:r>
              <w:rPr>
                <w:lang w:eastAsia="ar-SA"/>
              </w:rPr>
              <w:t>рішенням виконавчого комітету</w:t>
            </w:r>
          </w:p>
          <w:p w14:paraId="0B4B5BA3" w14:textId="77777777" w:rsidR="00110008" w:rsidRDefault="00110008">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6507384E" w14:textId="77777777" w:rsidR="00110008" w:rsidRDefault="00110008">
            <w:pPr>
              <w:suppressAutoHyphens/>
              <w:jc w:val="both"/>
              <w:rPr>
                <w:lang w:eastAsia="ar-SA"/>
              </w:rPr>
            </w:pPr>
            <w:r>
              <w:rPr>
                <w:lang w:eastAsia="ar-SA"/>
              </w:rPr>
              <w:t>від 12.07.2023 року № 11/31-23</w:t>
            </w:r>
          </w:p>
          <w:p w14:paraId="6107FC19" w14:textId="77777777" w:rsidR="00110008" w:rsidRDefault="00110008">
            <w:pPr>
              <w:rPr>
                <w:highlight w:val="yellow"/>
              </w:rPr>
            </w:pPr>
          </w:p>
        </w:tc>
      </w:tr>
    </w:tbl>
    <w:p w14:paraId="02BE7961"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604334A2" w14:textId="77777777" w:rsidR="00152EA0" w:rsidRPr="00AF0D8D" w:rsidRDefault="00585689" w:rsidP="00AF0D8D">
      <w:pPr>
        <w:jc w:val="center"/>
        <w:rPr>
          <w:b/>
        </w:rPr>
      </w:pPr>
      <w:r w:rsidRPr="009046E8">
        <w:rPr>
          <w:b/>
        </w:rPr>
        <w:t xml:space="preserve">адміністративної послуги </w:t>
      </w:r>
      <w:r w:rsidR="00A24A1A">
        <w:rPr>
          <w:b/>
        </w:rPr>
        <w:t xml:space="preserve">з </w:t>
      </w:r>
      <w:r w:rsidR="00F42BA7">
        <w:rPr>
          <w:b/>
          <w:lang w:val="ru-RU"/>
        </w:rPr>
        <w:t>в</w:t>
      </w:r>
      <w:r w:rsidR="00F42BA7">
        <w:rPr>
          <w:b/>
        </w:rPr>
        <w:t>несення змін до записів  Державного реєстру речових прав на нерухоме майно</w:t>
      </w:r>
    </w:p>
    <w:p w14:paraId="0D47261D"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7D8DE94B"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3B1953EE" w14:textId="77777777" w:rsidTr="00FA07F1">
        <w:tc>
          <w:tcPr>
            <w:tcW w:w="588" w:type="dxa"/>
            <w:tcBorders>
              <w:top w:val="single" w:sz="4" w:space="0" w:color="000000"/>
              <w:left w:val="single" w:sz="4" w:space="0" w:color="000000"/>
              <w:bottom w:val="single" w:sz="4" w:space="0" w:color="000000"/>
            </w:tcBorders>
          </w:tcPr>
          <w:p w14:paraId="483BDC61"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3B825213"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11937EC5"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6272F334" w14:textId="18BD1BF0" w:rsidR="009C562A" w:rsidRPr="004C53E0" w:rsidRDefault="009C562A" w:rsidP="00FA07F1">
            <w:pPr>
              <w:jc w:val="both"/>
            </w:pPr>
            <w:r w:rsidRPr="004C53E0">
              <w:rPr>
                <w:b/>
              </w:rPr>
              <w:t>Адреса</w:t>
            </w:r>
            <w:r w:rsidRPr="004C53E0">
              <w:t xml:space="preserve">: </w:t>
            </w:r>
            <w:proofErr w:type="spellStart"/>
            <w:r w:rsidR="000B0276" w:rsidRPr="000B0276">
              <w:t>вул.ім.Беліменків</w:t>
            </w:r>
            <w:proofErr w:type="spellEnd"/>
            <w:r w:rsidR="000B0276" w:rsidRPr="000B0276">
              <w:t xml:space="preserve"> 2, смт Пісочин Харківського району Харківської області, 62416</w:t>
            </w:r>
          </w:p>
          <w:p w14:paraId="6EE8EF19"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792990C8"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4AA44EDA"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1C71E753" w14:textId="77777777" w:rsidR="005C711C" w:rsidRDefault="005C711C" w:rsidP="005C711C">
            <w:pPr>
              <w:jc w:val="both"/>
            </w:pPr>
            <w:r w:rsidRPr="004C53E0">
              <w:rPr>
                <w:b/>
              </w:rPr>
              <w:t>Режим роботи</w:t>
            </w:r>
            <w:r w:rsidRPr="004C53E0">
              <w:t xml:space="preserve">: </w:t>
            </w:r>
          </w:p>
          <w:p w14:paraId="58C424BB" w14:textId="77777777" w:rsidR="005C711C" w:rsidRDefault="005C711C" w:rsidP="005C711C">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77C20202" w14:textId="77777777" w:rsidR="005C711C" w:rsidRDefault="005C711C" w:rsidP="005C711C">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68D3EC07" w14:textId="77777777" w:rsidR="005C711C" w:rsidRDefault="005C711C" w:rsidP="005C711C">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2512B890" w14:textId="77777777" w:rsidR="005C711C" w:rsidRDefault="005C711C" w:rsidP="005C711C">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5A3F34FE" w14:textId="77777777" w:rsidR="005C711C" w:rsidRDefault="005C711C" w:rsidP="005C711C">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45E0D575" w14:textId="77777777" w:rsidR="005C711C" w:rsidRDefault="005C711C" w:rsidP="005C711C">
            <w:r w:rsidRPr="0078452F">
              <w:t>субота</w:t>
            </w:r>
            <w:r>
              <w:t xml:space="preserve">           -  з 08.30  до 15.00;</w:t>
            </w:r>
          </w:p>
          <w:p w14:paraId="5D69B388" w14:textId="77777777" w:rsidR="009C562A" w:rsidRPr="00FC5AB5" w:rsidRDefault="005C711C" w:rsidP="005C711C">
            <w:pPr>
              <w:jc w:val="both"/>
            </w:pPr>
            <w:r w:rsidRPr="0004414F">
              <w:t xml:space="preserve">неділя </w:t>
            </w:r>
            <w:r>
              <w:t xml:space="preserve">           - </w:t>
            </w:r>
            <w:r w:rsidRPr="0004414F">
              <w:t xml:space="preserve"> вихідни</w:t>
            </w:r>
            <w:r>
              <w:t>й.</w:t>
            </w:r>
          </w:p>
        </w:tc>
      </w:tr>
      <w:tr w:rsidR="009C562A" w:rsidRPr="004C53E0" w14:paraId="0CF9D501" w14:textId="77777777" w:rsidTr="00FA07F1">
        <w:trPr>
          <w:trHeight w:val="539"/>
        </w:trPr>
        <w:tc>
          <w:tcPr>
            <w:tcW w:w="588" w:type="dxa"/>
            <w:tcBorders>
              <w:top w:val="single" w:sz="4" w:space="0" w:color="000000"/>
              <w:left w:val="single" w:sz="4" w:space="0" w:color="000000"/>
              <w:bottom w:val="single" w:sz="4" w:space="0" w:color="000000"/>
            </w:tcBorders>
          </w:tcPr>
          <w:p w14:paraId="55B59E09" w14:textId="77777777" w:rsidR="009C562A" w:rsidRPr="004C53E0" w:rsidRDefault="009C562A" w:rsidP="00FA07F1">
            <w:pPr>
              <w:snapToGrid w:val="0"/>
              <w:jc w:val="both"/>
              <w:rPr>
                <w:color w:val="000000"/>
                <w:spacing w:val="5"/>
              </w:rPr>
            </w:pPr>
            <w:r w:rsidRPr="004C53E0">
              <w:rPr>
                <w:color w:val="000000"/>
                <w:spacing w:val="5"/>
              </w:rPr>
              <w:t>2.</w:t>
            </w:r>
          </w:p>
          <w:p w14:paraId="337CB189" w14:textId="77777777" w:rsidR="009C562A" w:rsidRPr="004C53E0" w:rsidRDefault="009C562A" w:rsidP="00FA07F1">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51B3AEAF" w14:textId="77777777" w:rsidR="009C562A" w:rsidRPr="004C53E0" w:rsidRDefault="009C562A" w:rsidP="00FA07F1">
            <w:pPr>
              <w:snapToGrid w:val="0"/>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75414836" w14:textId="77777777" w:rsidR="00AF0D8D" w:rsidRDefault="00F42BA7" w:rsidP="009F3D61">
            <w:pPr>
              <w:ind w:firstLine="217"/>
              <w:jc w:val="both"/>
            </w:pPr>
            <w:bookmarkStart w:id="0" w:name="n226"/>
            <w:bookmarkEnd w:id="0"/>
            <w:r>
              <w:t>Заява встановленої форми; документ, що підтверджує сплату адміністративного збору в повному обсязі або документ, що підтверджує право на звільнення від сплати адміністративного збору.</w:t>
            </w:r>
          </w:p>
          <w:p w14:paraId="647C3B3F" w14:textId="77777777" w:rsidR="00F42BA7" w:rsidRPr="00F42BA7" w:rsidRDefault="00F42BA7" w:rsidP="009F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t>Особисто або уповноваженою особою у паперовій формі.</w:t>
            </w:r>
          </w:p>
        </w:tc>
      </w:tr>
      <w:tr w:rsidR="009C562A" w:rsidRPr="004C53E0" w14:paraId="078E40D0" w14:textId="77777777" w:rsidTr="00FA07F1">
        <w:tc>
          <w:tcPr>
            <w:tcW w:w="588" w:type="dxa"/>
            <w:tcBorders>
              <w:top w:val="single" w:sz="4" w:space="0" w:color="000000"/>
              <w:left w:val="single" w:sz="4" w:space="0" w:color="000000"/>
              <w:bottom w:val="single" w:sz="4" w:space="0" w:color="000000"/>
            </w:tcBorders>
          </w:tcPr>
          <w:p w14:paraId="676D372A" w14:textId="77777777" w:rsidR="009C562A" w:rsidRPr="004C53E0" w:rsidRDefault="009C562A" w:rsidP="00FA07F1">
            <w:pPr>
              <w:snapToGrid w:val="0"/>
              <w:jc w:val="both"/>
              <w:rPr>
                <w:color w:val="000000"/>
                <w:spacing w:val="5"/>
              </w:rPr>
            </w:pPr>
            <w:r w:rsidRPr="004C53E0">
              <w:rPr>
                <w:color w:val="000000"/>
                <w:spacing w:val="5"/>
              </w:rPr>
              <w:t>3.</w:t>
            </w:r>
          </w:p>
        </w:tc>
        <w:tc>
          <w:tcPr>
            <w:tcW w:w="2472" w:type="dxa"/>
            <w:tcBorders>
              <w:top w:val="single" w:sz="4" w:space="0" w:color="000000"/>
              <w:left w:val="single" w:sz="4" w:space="0" w:color="000000"/>
              <w:bottom w:val="single" w:sz="4" w:space="0" w:color="000000"/>
            </w:tcBorders>
          </w:tcPr>
          <w:p w14:paraId="63EA421D" w14:textId="77777777" w:rsidR="009C562A" w:rsidRPr="004C53E0" w:rsidRDefault="009C562A" w:rsidP="00FA07F1">
            <w:pPr>
              <w:snapToGrid w:val="0"/>
            </w:pPr>
            <w:r w:rsidRPr="004C53E0">
              <w:rPr>
                <w:color w:val="000000"/>
                <w:spacing w:val="5"/>
              </w:rPr>
              <w:t>Оплата</w:t>
            </w:r>
          </w:p>
        </w:tc>
        <w:tc>
          <w:tcPr>
            <w:tcW w:w="6233" w:type="dxa"/>
            <w:tcBorders>
              <w:top w:val="single" w:sz="4" w:space="0" w:color="000000"/>
              <w:left w:val="single" w:sz="4" w:space="0" w:color="000000"/>
              <w:bottom w:val="single" w:sz="4" w:space="0" w:color="000000"/>
              <w:right w:val="single" w:sz="4" w:space="0" w:color="000000"/>
            </w:tcBorders>
          </w:tcPr>
          <w:p w14:paraId="2CF7360B" w14:textId="77777777" w:rsidR="009C562A" w:rsidRDefault="00F42BA7" w:rsidP="009F3D61">
            <w:pPr>
              <w:jc w:val="both"/>
            </w:pPr>
            <w:r>
              <w:t>Безоплатно, крім випадків передбачених статтею 34 Закону України «Про державну реєстрацію речових прав на нерухоме майно та їх обтяжень»</w:t>
            </w:r>
          </w:p>
          <w:p w14:paraId="22E0FFDE" w14:textId="77777777" w:rsidR="009F3D61" w:rsidRDefault="009F3D61" w:rsidP="009F3D61">
            <w:pPr>
              <w:jc w:val="both"/>
            </w:pPr>
            <w:r>
              <w:t xml:space="preserve">ГУК Харків </w:t>
            </w:r>
            <w:proofErr w:type="spellStart"/>
            <w:r>
              <w:t>обл</w:t>
            </w:r>
            <w:proofErr w:type="spellEnd"/>
            <w:r>
              <w:t>/СТГ Пісочин /22012600 найменування отримувача (</w:t>
            </w:r>
            <w:proofErr w:type="spellStart"/>
            <w:r>
              <w:t>підроздів</w:t>
            </w:r>
            <w:proofErr w:type="spellEnd"/>
            <w:r>
              <w:t xml:space="preserve"> Товариства )</w:t>
            </w:r>
          </w:p>
          <w:p w14:paraId="2CC4A025" w14:textId="77777777" w:rsidR="009F3D61" w:rsidRDefault="009F3D61" w:rsidP="009F3D61">
            <w:pPr>
              <w:jc w:val="both"/>
            </w:pPr>
            <w:r>
              <w:rPr>
                <w:lang w:val="en-US"/>
              </w:rPr>
              <w:t>UA</w:t>
            </w:r>
            <w:r w:rsidRPr="00BD6CE0">
              <w:rPr>
                <w:lang w:val="ru-RU"/>
              </w:rPr>
              <w:t xml:space="preserve"> </w:t>
            </w:r>
            <w:r>
              <w:t>978999980314090530000020571 (поточний рахунок)</w:t>
            </w:r>
          </w:p>
          <w:p w14:paraId="0E4083A3" w14:textId="77777777" w:rsidR="009F3D61" w:rsidRDefault="009F3D61" w:rsidP="009F3D61">
            <w:pPr>
              <w:jc w:val="both"/>
            </w:pPr>
            <w:r>
              <w:t>8999</w:t>
            </w:r>
            <w:r w:rsidR="00763E52">
              <w:t>9</w:t>
            </w:r>
            <w:r>
              <w:t xml:space="preserve">8 (код банку) </w:t>
            </w:r>
          </w:p>
          <w:p w14:paraId="5C06AFAC" w14:textId="77777777" w:rsidR="009F3D61" w:rsidRPr="006915AC" w:rsidDel="00822F63" w:rsidRDefault="009F3D61" w:rsidP="009F3D61">
            <w:pPr>
              <w:jc w:val="both"/>
              <w:rPr>
                <w:b/>
              </w:rPr>
            </w:pPr>
            <w:r>
              <w:t>37874947 (ЄДРПОУ)</w:t>
            </w:r>
          </w:p>
        </w:tc>
      </w:tr>
      <w:tr w:rsidR="009C562A" w:rsidRPr="004C53E0" w14:paraId="7859EA23" w14:textId="77777777" w:rsidTr="00FA07F1">
        <w:tc>
          <w:tcPr>
            <w:tcW w:w="588" w:type="dxa"/>
            <w:tcBorders>
              <w:top w:val="single" w:sz="4" w:space="0" w:color="000000"/>
              <w:left w:val="single" w:sz="4" w:space="0" w:color="000000"/>
              <w:bottom w:val="single" w:sz="4" w:space="0" w:color="000000"/>
            </w:tcBorders>
          </w:tcPr>
          <w:p w14:paraId="7759318B" w14:textId="77777777" w:rsidR="009C562A" w:rsidRPr="004C53E0" w:rsidRDefault="009C562A" w:rsidP="00FA07F1">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33CE945D" w14:textId="77777777" w:rsidR="009C562A" w:rsidRPr="004C53E0" w:rsidRDefault="009C562A" w:rsidP="00FA07F1">
            <w:pPr>
              <w:snapToGrid w:val="0"/>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171E78CC" w14:textId="77777777" w:rsidR="00F42BA7" w:rsidRDefault="00F42BA7" w:rsidP="009F3D61">
            <w:pPr>
              <w:jc w:val="both"/>
              <w:rPr>
                <w:rStyle w:val="fontstyle01"/>
                <w:rFonts w:eastAsiaTheme="majorEastAsia"/>
              </w:rPr>
            </w:pPr>
            <w:r>
              <w:rPr>
                <w:rStyle w:val="fontstyle01"/>
                <w:rFonts w:eastAsiaTheme="majorEastAsia"/>
              </w:rPr>
              <w:t xml:space="preserve">  1) прийняття рішення про внесення змін; </w:t>
            </w:r>
          </w:p>
          <w:p w14:paraId="070CE8C1" w14:textId="77777777" w:rsidR="00F42BA7" w:rsidRDefault="00F42BA7" w:rsidP="009F3D61">
            <w:pPr>
              <w:ind w:firstLine="125"/>
              <w:jc w:val="both"/>
              <w:rPr>
                <w:rStyle w:val="fontstyle01"/>
                <w:rFonts w:eastAsiaTheme="majorEastAsia"/>
              </w:rPr>
            </w:pPr>
            <w:r>
              <w:rPr>
                <w:rStyle w:val="fontstyle01"/>
                <w:rFonts w:eastAsiaTheme="majorEastAsia"/>
              </w:rPr>
              <w:t xml:space="preserve">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w:t>
            </w:r>
          </w:p>
          <w:p w14:paraId="1549E1E6" w14:textId="77777777" w:rsidR="00F42BA7" w:rsidRDefault="00F42BA7" w:rsidP="009F3D61">
            <w:pPr>
              <w:ind w:firstLine="125"/>
              <w:jc w:val="both"/>
              <w:rPr>
                <w:rFonts w:eastAsiaTheme="majorEastAsia"/>
              </w:rPr>
            </w:pPr>
            <w:r>
              <w:rPr>
                <w:rStyle w:val="fontstyle01"/>
                <w:rFonts w:eastAsiaTheme="majorEastAsia"/>
              </w:rPr>
              <w:t>формування витягу з Державного реєстру речових прав на нерухоме майно про проведену державну реєстрацію змін;</w:t>
            </w:r>
          </w:p>
          <w:p w14:paraId="4E6BE75B" w14:textId="77777777" w:rsidR="00F42BA7" w:rsidRDefault="00F42BA7" w:rsidP="009F3D61">
            <w:pPr>
              <w:ind w:left="-125" w:firstLine="125"/>
              <w:jc w:val="both"/>
            </w:pPr>
            <w:r>
              <w:rPr>
                <w:rStyle w:val="fontstyle01"/>
                <w:rFonts w:eastAsiaTheme="majorEastAsia"/>
              </w:rPr>
              <w:t xml:space="preserve">  2) рішення про відмову у державній реєстрації із </w:t>
            </w:r>
          </w:p>
          <w:p w14:paraId="1C976DBF" w14:textId="77777777" w:rsidR="009C562A" w:rsidRPr="003002CE" w:rsidRDefault="00F42BA7" w:rsidP="009F3D61">
            <w:pPr>
              <w:ind w:left="-125" w:firstLine="125"/>
              <w:jc w:val="both"/>
            </w:pPr>
            <w:r>
              <w:rPr>
                <w:rStyle w:val="fontstyle01"/>
                <w:rFonts w:eastAsiaTheme="majorEastAsia"/>
              </w:rPr>
              <w:lastRenderedPageBreak/>
              <w:t>зазначенням виключного переліку обставин, що стали підставою для його прийняття</w:t>
            </w:r>
            <w:r>
              <w:t>.</w:t>
            </w:r>
          </w:p>
        </w:tc>
      </w:tr>
      <w:tr w:rsidR="009C562A" w:rsidRPr="004C53E0" w14:paraId="0796D988" w14:textId="77777777" w:rsidTr="00FA07F1">
        <w:tc>
          <w:tcPr>
            <w:tcW w:w="588" w:type="dxa"/>
            <w:tcBorders>
              <w:top w:val="single" w:sz="4" w:space="0" w:color="000000"/>
              <w:left w:val="single" w:sz="4" w:space="0" w:color="000000"/>
              <w:bottom w:val="single" w:sz="4" w:space="0" w:color="000000"/>
            </w:tcBorders>
          </w:tcPr>
          <w:p w14:paraId="2C7831EF" w14:textId="77777777" w:rsidR="009C562A" w:rsidRPr="004C53E0" w:rsidRDefault="009C562A" w:rsidP="00FA07F1">
            <w:pPr>
              <w:snapToGrid w:val="0"/>
              <w:jc w:val="both"/>
              <w:rPr>
                <w:color w:val="000000"/>
                <w:spacing w:val="5"/>
              </w:rPr>
            </w:pPr>
            <w:r w:rsidRPr="004C53E0">
              <w:rPr>
                <w:color w:val="000000"/>
                <w:spacing w:val="5"/>
              </w:rPr>
              <w:lastRenderedPageBreak/>
              <w:t xml:space="preserve">5. </w:t>
            </w:r>
          </w:p>
        </w:tc>
        <w:tc>
          <w:tcPr>
            <w:tcW w:w="2472" w:type="dxa"/>
            <w:tcBorders>
              <w:top w:val="single" w:sz="4" w:space="0" w:color="000000"/>
              <w:left w:val="single" w:sz="4" w:space="0" w:color="000000"/>
              <w:bottom w:val="single" w:sz="4" w:space="0" w:color="000000"/>
            </w:tcBorders>
          </w:tcPr>
          <w:p w14:paraId="1A2062FC" w14:textId="77777777" w:rsidR="009C562A" w:rsidRPr="004C53E0" w:rsidRDefault="009C562A" w:rsidP="00FA07F1">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67822A1F" w14:textId="77777777" w:rsidR="009C562A" w:rsidRPr="003267C9" w:rsidRDefault="00F42BA7" w:rsidP="009F3D6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en-US"/>
              </w:rPr>
            </w:pPr>
            <w:r>
              <w:t>В</w:t>
            </w:r>
            <w:r>
              <w:rPr>
                <w:color w:val="333333"/>
                <w:shd w:val="clear" w:color="auto" w:fill="FFFFFF"/>
              </w:rPr>
              <w:t xml:space="preserve"> день реєстрації заяви </w:t>
            </w:r>
            <w:r>
              <w:t>в Державному реєстрі речових прав на нерухоме майно</w:t>
            </w:r>
          </w:p>
        </w:tc>
      </w:tr>
      <w:tr w:rsidR="009C562A" w:rsidRPr="004C53E0" w14:paraId="25A10594" w14:textId="77777777" w:rsidTr="00FA07F1">
        <w:tc>
          <w:tcPr>
            <w:tcW w:w="588" w:type="dxa"/>
            <w:tcBorders>
              <w:top w:val="single" w:sz="4" w:space="0" w:color="000000"/>
              <w:left w:val="single" w:sz="4" w:space="0" w:color="000000"/>
              <w:bottom w:val="single" w:sz="4" w:space="0" w:color="000000"/>
            </w:tcBorders>
          </w:tcPr>
          <w:p w14:paraId="4123E9F5" w14:textId="77777777" w:rsidR="009C562A" w:rsidRPr="004C53E0" w:rsidRDefault="009C562A" w:rsidP="00FA07F1">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19D334A6" w14:textId="77777777" w:rsidR="009C562A" w:rsidRPr="004C53E0" w:rsidRDefault="009C562A" w:rsidP="00FA07F1">
            <w:pPr>
              <w:snapToGrid w:val="0"/>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56977335" w14:textId="77777777" w:rsidR="00F42BA7" w:rsidRDefault="00F42BA7" w:rsidP="009F3D61">
            <w:pPr>
              <w:pStyle w:val="ab"/>
              <w:tabs>
                <w:tab w:val="left" w:pos="358"/>
              </w:tabs>
              <w:ind w:left="0" w:firstLine="217"/>
              <w:jc w:val="both"/>
            </w:pPr>
            <w:r>
              <w:t>Через центр надання адміністративних послуг;</w:t>
            </w:r>
          </w:p>
          <w:p w14:paraId="0B2BAD38" w14:textId="77777777" w:rsidR="009C562A" w:rsidRPr="004C53E0" w:rsidRDefault="00F42BA7" w:rsidP="009F3D61">
            <w:pPr>
              <w:jc w:val="both"/>
              <w:rPr>
                <w:bCs/>
                <w:lang w:eastAsia="ar-SA"/>
              </w:rPr>
            </w:pPr>
            <w:r>
              <w:t xml:space="preserve">через </w:t>
            </w:r>
            <w:proofErr w:type="spellStart"/>
            <w:r>
              <w:t>Вебпортал</w:t>
            </w:r>
            <w:proofErr w:type="spellEnd"/>
            <w:r>
              <w:t xml:space="preserve"> Мін’юсту*</w:t>
            </w:r>
          </w:p>
        </w:tc>
      </w:tr>
      <w:tr w:rsidR="009C562A" w:rsidRPr="004C53E0" w14:paraId="3EC3179D" w14:textId="77777777" w:rsidTr="00FA07F1">
        <w:tc>
          <w:tcPr>
            <w:tcW w:w="588" w:type="dxa"/>
            <w:tcBorders>
              <w:top w:val="single" w:sz="4" w:space="0" w:color="000000"/>
              <w:left w:val="single" w:sz="4" w:space="0" w:color="000000"/>
              <w:bottom w:val="single" w:sz="4" w:space="0" w:color="000000"/>
            </w:tcBorders>
          </w:tcPr>
          <w:p w14:paraId="2D5FB624" w14:textId="77777777" w:rsidR="009C562A" w:rsidRPr="004C53E0" w:rsidRDefault="009C562A" w:rsidP="00FA07F1">
            <w:pPr>
              <w:snapToGrid w:val="0"/>
              <w:jc w:val="both"/>
              <w:rPr>
                <w:color w:val="000000"/>
                <w:spacing w:val="5"/>
              </w:rPr>
            </w:pPr>
            <w:r w:rsidRPr="004C53E0">
              <w:rPr>
                <w:color w:val="000000"/>
                <w:spacing w:val="5"/>
              </w:rPr>
              <w:t>7.</w:t>
            </w:r>
          </w:p>
        </w:tc>
        <w:tc>
          <w:tcPr>
            <w:tcW w:w="2472" w:type="dxa"/>
            <w:tcBorders>
              <w:top w:val="single" w:sz="4" w:space="0" w:color="000000"/>
              <w:left w:val="single" w:sz="4" w:space="0" w:color="000000"/>
              <w:bottom w:val="single" w:sz="4" w:space="0" w:color="000000"/>
            </w:tcBorders>
          </w:tcPr>
          <w:p w14:paraId="4BDB3F78" w14:textId="77777777" w:rsidR="009C562A" w:rsidRPr="004C53E0" w:rsidRDefault="009C562A" w:rsidP="00FA07F1">
            <w:pPr>
              <w:snapToGrid w:val="0"/>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2DA808DB" w14:textId="77777777" w:rsidR="00C00847" w:rsidRDefault="00C00847" w:rsidP="009F3D61">
            <w:pPr>
              <w:jc w:val="both"/>
            </w:pPr>
            <w:hyperlink r:id="rId6" w:anchor="n167" w:tgtFrame="_blank" w:history="1">
              <w:r w:rsidRPr="00C00847">
                <w:rPr>
                  <w:rStyle w:val="af8"/>
                  <w:color w:val="auto"/>
                  <w:u w:val="none"/>
                </w:rPr>
                <w:t>Закон України "Про державну реєстрацію речових прав на нерухоме майно та їх обтяжень" частина друга, третя, стаття 26; стаття 37; частина друга, статті 31-1; абзац третій, пункт 9, частина восьма, стаття 32</w:t>
              </w:r>
            </w:hyperlink>
          </w:p>
          <w:p w14:paraId="20D482C3" w14:textId="77777777" w:rsidR="00C00847" w:rsidRDefault="00C00847" w:rsidP="009F3D61">
            <w:pPr>
              <w:jc w:val="both"/>
            </w:pPr>
            <w:hyperlink r:id="rId7" w:anchor="Text" w:tgtFrame="_blank" w:history="1">
              <w:r w:rsidRPr="00C00847">
                <w:rPr>
                  <w:rStyle w:val="af8"/>
                  <w:color w:val="auto"/>
                  <w:u w:val="none"/>
                </w:rPr>
                <w:t>Постанова КМУ від 26.10.2011 №1141 "Про затвердження Порядку ведення Державного реєстру речових прав на нерухоме майно" Пункти 6, 8, 45</w:t>
              </w:r>
            </w:hyperlink>
          </w:p>
          <w:p w14:paraId="600F4AF8" w14:textId="77777777" w:rsidR="00C00847" w:rsidRDefault="00C00847" w:rsidP="009F3D61">
            <w:pPr>
              <w:jc w:val="both"/>
            </w:pPr>
            <w:hyperlink r:id="rId8" w:anchor="Text" w:tgtFrame="_blank" w:history="1">
              <w:r w:rsidRPr="00C00847">
                <w:rPr>
                  <w:rStyle w:val="af8"/>
                  <w:color w:val="auto"/>
                  <w:u w:val="none"/>
                </w:rPr>
                <w:t xml:space="preserve">Постанова КМУ від 25.12.2015 №1127 "Про державну реєстрацію речових прав на нерухоме майно та їх обтяжень" Розділ </w:t>
              </w:r>
              <w:proofErr w:type="spellStart"/>
              <w:r w:rsidRPr="00C00847">
                <w:rPr>
                  <w:rStyle w:val="af8"/>
                  <w:color w:val="auto"/>
                  <w:u w:val="none"/>
                </w:rPr>
                <w:t>ІІ</w:t>
              </w:r>
            </w:hyperlink>
            <w:proofErr w:type="spellEnd"/>
          </w:p>
          <w:p w14:paraId="3B978481" w14:textId="13A946D6" w:rsidR="00F42BA7" w:rsidRPr="00C00847" w:rsidRDefault="00C00847" w:rsidP="009F3D61">
            <w:pPr>
              <w:jc w:val="both"/>
            </w:pPr>
            <w:hyperlink r:id="rId9" w:anchor="Text" w:tgtFrame="_blank" w:history="1">
              <w:r w:rsidRPr="00C00847">
                <w:rPr>
                  <w:rStyle w:val="af8"/>
                  <w:color w:val="auto"/>
                  <w:u w:val="none"/>
                </w:rPr>
                <w:t>Наказ ЦОВВ від 21.11.2016 №3276/5 "Про затвердження Вимог до оформлення заяв та рішень у сфері державної реєстрації речових прав на нерухоме майно та їх обтяжень" Пункти 1-7</w:t>
              </w:r>
            </w:hyperlink>
          </w:p>
        </w:tc>
      </w:tr>
      <w:tr w:rsidR="008A0823" w:rsidRPr="004C53E0" w14:paraId="4CF71387" w14:textId="77777777" w:rsidTr="00FA07F1">
        <w:tc>
          <w:tcPr>
            <w:tcW w:w="588" w:type="dxa"/>
            <w:tcBorders>
              <w:top w:val="single" w:sz="4" w:space="0" w:color="000000"/>
              <w:left w:val="single" w:sz="4" w:space="0" w:color="000000"/>
              <w:bottom w:val="single" w:sz="4" w:space="0" w:color="000000"/>
            </w:tcBorders>
          </w:tcPr>
          <w:p w14:paraId="5D6DB834" w14:textId="77777777" w:rsidR="008A0823" w:rsidRPr="004C53E0" w:rsidRDefault="008A0823" w:rsidP="00FA07F1">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55407862" w14:textId="77777777" w:rsidR="008A0823" w:rsidRPr="004C53E0" w:rsidRDefault="008A0823" w:rsidP="00FA07F1">
            <w:pPr>
              <w:snapToGrid w:val="0"/>
              <w:rPr>
                <w:color w:val="000000"/>
                <w:spacing w:val="5"/>
              </w:rPr>
            </w:pPr>
            <w:r w:rsidRPr="00EC2A77">
              <w:rPr>
                <w:color w:val="000000"/>
                <w:spacing w:val="5"/>
              </w:rPr>
              <w:t>Перелік підстав для відмови у державній реєстрації</w:t>
            </w:r>
          </w:p>
        </w:tc>
        <w:tc>
          <w:tcPr>
            <w:tcW w:w="6233" w:type="dxa"/>
            <w:tcBorders>
              <w:top w:val="single" w:sz="4" w:space="0" w:color="000000"/>
              <w:left w:val="single" w:sz="4" w:space="0" w:color="000000"/>
              <w:bottom w:val="single" w:sz="4" w:space="0" w:color="000000"/>
              <w:right w:val="single" w:sz="4" w:space="0" w:color="000000"/>
            </w:tcBorders>
          </w:tcPr>
          <w:p w14:paraId="25572B1C" w14:textId="77777777" w:rsidR="00F42BA7" w:rsidRDefault="00F42BA7" w:rsidP="009F3D61">
            <w:pPr>
              <w:tabs>
                <w:tab w:val="left" w:pos="1565"/>
              </w:tabs>
              <w:ind w:firstLine="217"/>
              <w:jc w:val="both"/>
              <w:rPr>
                <w:lang w:eastAsia="en-US"/>
              </w:rPr>
            </w:pPr>
            <w:r>
              <w:t>1) 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14:paraId="1C1D8D0B" w14:textId="77777777" w:rsidR="00F42BA7" w:rsidRDefault="00F42BA7" w:rsidP="009F3D61">
            <w:pPr>
              <w:tabs>
                <w:tab w:val="left" w:pos="1565"/>
              </w:tabs>
              <w:ind w:firstLine="217"/>
              <w:jc w:val="both"/>
            </w:pPr>
            <w:r>
              <w:t xml:space="preserve"> 2) заява про державну реєстрацію прав подана неналежною особою; </w:t>
            </w:r>
          </w:p>
          <w:p w14:paraId="34B8977E" w14:textId="77777777" w:rsidR="00F42BA7" w:rsidRDefault="00F42BA7" w:rsidP="009F3D61">
            <w:pPr>
              <w:tabs>
                <w:tab w:val="left" w:pos="1565"/>
              </w:tabs>
              <w:ind w:firstLine="217"/>
              <w:jc w:val="both"/>
            </w:pPr>
            <w:r>
              <w:t xml:space="preserve">3) подані документи не відповідають вимогам, встановленим Законом України «Про державну реєстрацію речових прав на нерухоме майно та їх обтяжень»; </w:t>
            </w:r>
          </w:p>
          <w:p w14:paraId="289894F7" w14:textId="77777777" w:rsidR="00F42BA7" w:rsidRDefault="00F42BA7" w:rsidP="009F3D61">
            <w:pPr>
              <w:tabs>
                <w:tab w:val="left" w:pos="1565"/>
              </w:tabs>
              <w:ind w:firstLine="217"/>
              <w:jc w:val="both"/>
            </w:pPr>
            <w:r>
              <w:t>4) подані документи не дають змоги встановити набуття, зміну або припинення речових прав на нерухоме майно та їх обтяження;</w:t>
            </w:r>
          </w:p>
          <w:p w14:paraId="0097998E" w14:textId="77777777" w:rsidR="00F42BA7" w:rsidRDefault="00F42BA7" w:rsidP="009F3D61">
            <w:pPr>
              <w:tabs>
                <w:tab w:val="left" w:pos="1565"/>
              </w:tabs>
              <w:ind w:firstLine="217"/>
              <w:jc w:val="both"/>
            </w:pPr>
            <w:r>
              <w:t xml:space="preserve"> 5) наявні суперечності між заявленими та вже зареєстрованими речовими правами на нерухоме майно та їх обтяженнями;</w:t>
            </w:r>
          </w:p>
          <w:p w14:paraId="52EA9D8C" w14:textId="77777777" w:rsidR="00F42BA7" w:rsidRDefault="00F42BA7" w:rsidP="009F3D61">
            <w:pPr>
              <w:tabs>
                <w:tab w:val="left" w:pos="1565"/>
              </w:tabs>
              <w:ind w:firstLine="217"/>
              <w:jc w:val="both"/>
            </w:pPr>
            <w:r>
              <w:t xml:space="preserve"> 6) наявні зареєстровані обтяження речових прав на нерухоме майно; </w:t>
            </w:r>
          </w:p>
          <w:p w14:paraId="0DAAF036" w14:textId="77777777" w:rsidR="00F42BA7" w:rsidRDefault="00F42BA7" w:rsidP="009F3D61">
            <w:pPr>
              <w:tabs>
                <w:tab w:val="left" w:pos="1565"/>
              </w:tabs>
              <w:ind w:firstLine="217"/>
              <w:jc w:val="both"/>
            </w:pPr>
            <w:r>
              <w:t xml:space="preserve">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14:paraId="71CDF938" w14:textId="77777777" w:rsidR="00F42BA7" w:rsidRDefault="00F42BA7" w:rsidP="009F3D61">
            <w:pPr>
              <w:tabs>
                <w:tab w:val="left" w:pos="1565"/>
              </w:tabs>
              <w:ind w:firstLine="217"/>
              <w:jc w:val="both"/>
            </w:pPr>
            <w:r>
              <w:t>8) документи подано до неналежного суб’єкта державної реєстрації прав, нотаріуса;</w:t>
            </w:r>
          </w:p>
          <w:p w14:paraId="05DEBCA1" w14:textId="77777777" w:rsidR="008A0823" w:rsidRPr="004C53E0" w:rsidRDefault="00F42BA7" w:rsidP="009F3D61">
            <w:pPr>
              <w:jc w:val="both"/>
            </w:pPr>
            <w:r>
              <w:t xml:space="preserve"> 9) заявником подано ті самі документи, на підставі яких заявлене речове право, обтяження вже зареєстровано у Державному реєстрі прав</w:t>
            </w:r>
          </w:p>
        </w:tc>
      </w:tr>
    </w:tbl>
    <w:p w14:paraId="3DB4EDDF" w14:textId="77777777" w:rsidR="00546157" w:rsidRDefault="00546157" w:rsidP="00E44D9A">
      <w:pPr>
        <w:jc w:val="center"/>
      </w:pPr>
    </w:p>
    <w:sectPr w:rsidR="00546157"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6"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8937601">
    <w:abstractNumId w:val="0"/>
  </w:num>
  <w:num w:numId="2" w16cid:durableId="1216087492">
    <w:abstractNumId w:val="3"/>
  </w:num>
  <w:num w:numId="3" w16cid:durableId="902252837">
    <w:abstractNumId w:val="1"/>
  </w:num>
  <w:num w:numId="4" w16cid:durableId="1852990681">
    <w:abstractNumId w:val="4"/>
  </w:num>
  <w:num w:numId="5" w16cid:durableId="1443721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385319">
    <w:abstractNumId w:val="2"/>
  </w:num>
  <w:num w:numId="7" w16cid:durableId="135298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3790D"/>
    <w:rsid w:val="000B0276"/>
    <w:rsid w:val="000D69D8"/>
    <w:rsid w:val="000E5E22"/>
    <w:rsid w:val="00110008"/>
    <w:rsid w:val="00152EA0"/>
    <w:rsid w:val="00176E00"/>
    <w:rsid w:val="001E41D9"/>
    <w:rsid w:val="002129D9"/>
    <w:rsid w:val="00224EC2"/>
    <w:rsid w:val="003002CE"/>
    <w:rsid w:val="003267C9"/>
    <w:rsid w:val="00357C09"/>
    <w:rsid w:val="003D2332"/>
    <w:rsid w:val="00546157"/>
    <w:rsid w:val="00585689"/>
    <w:rsid w:val="005C711C"/>
    <w:rsid w:val="005F359B"/>
    <w:rsid w:val="006508DD"/>
    <w:rsid w:val="006915AC"/>
    <w:rsid w:val="006B34CD"/>
    <w:rsid w:val="006F47C9"/>
    <w:rsid w:val="00763E52"/>
    <w:rsid w:val="008326CA"/>
    <w:rsid w:val="008648FD"/>
    <w:rsid w:val="008771CF"/>
    <w:rsid w:val="008A0823"/>
    <w:rsid w:val="009046E8"/>
    <w:rsid w:val="00916021"/>
    <w:rsid w:val="009C3550"/>
    <w:rsid w:val="009C562A"/>
    <w:rsid w:val="009F3D61"/>
    <w:rsid w:val="00A24A1A"/>
    <w:rsid w:val="00A6578D"/>
    <w:rsid w:val="00AF0D8D"/>
    <w:rsid w:val="00B05FFF"/>
    <w:rsid w:val="00B35308"/>
    <w:rsid w:val="00C00847"/>
    <w:rsid w:val="00CA039A"/>
    <w:rsid w:val="00CB7D5C"/>
    <w:rsid w:val="00D25F54"/>
    <w:rsid w:val="00E13272"/>
    <w:rsid w:val="00E220FB"/>
    <w:rsid w:val="00E44D9A"/>
    <w:rsid w:val="00E6158A"/>
    <w:rsid w:val="00ED7A2F"/>
    <w:rsid w:val="00F42BA7"/>
    <w:rsid w:val="00FC5AB5"/>
    <w:rsid w:val="00FE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2119"/>
  <w15:docId w15:val="{D5AA85EF-BC4C-4F40-8D1D-9684134D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34"/>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character" w:customStyle="1" w:styleId="fontstyle01">
    <w:name w:val="fontstyle01"/>
    <w:rsid w:val="00AF0D8D"/>
    <w:rPr>
      <w:rFonts w:ascii="TimesNewRomanPSMT" w:hAnsi="TimesNewRomanPSMT" w:cs="Times New Roman" w:hint="default"/>
      <w:color w:val="000000"/>
      <w:sz w:val="24"/>
      <w:szCs w:val="24"/>
    </w:rPr>
  </w:style>
  <w:style w:type="character" w:styleId="af9">
    <w:name w:val="Unresolved Mention"/>
    <w:basedOn w:val="a0"/>
    <w:uiPriority w:val="99"/>
    <w:semiHidden/>
    <w:unhideWhenUsed/>
    <w:rsid w:val="00C0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81875708">
      <w:bodyDiv w:val="1"/>
      <w:marLeft w:val="0"/>
      <w:marRight w:val="0"/>
      <w:marTop w:val="0"/>
      <w:marBottom w:val="0"/>
      <w:divBdr>
        <w:top w:val="none" w:sz="0" w:space="0" w:color="auto"/>
        <w:left w:val="none" w:sz="0" w:space="0" w:color="auto"/>
        <w:bottom w:val="none" w:sz="0" w:space="0" w:color="auto"/>
        <w:right w:val="none" w:sz="0" w:space="0" w:color="auto"/>
      </w:divBdr>
    </w:div>
    <w:div w:id="167137984">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317072064">
      <w:bodyDiv w:val="1"/>
      <w:marLeft w:val="0"/>
      <w:marRight w:val="0"/>
      <w:marTop w:val="0"/>
      <w:marBottom w:val="0"/>
      <w:divBdr>
        <w:top w:val="none" w:sz="0" w:space="0" w:color="auto"/>
        <w:left w:val="none" w:sz="0" w:space="0" w:color="auto"/>
        <w:bottom w:val="none" w:sz="0" w:space="0" w:color="auto"/>
        <w:right w:val="none" w:sz="0" w:space="0" w:color="auto"/>
      </w:divBdr>
    </w:div>
    <w:div w:id="361784925">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6546610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501429414">
      <w:bodyDiv w:val="1"/>
      <w:marLeft w:val="0"/>
      <w:marRight w:val="0"/>
      <w:marTop w:val="0"/>
      <w:marBottom w:val="0"/>
      <w:divBdr>
        <w:top w:val="none" w:sz="0" w:space="0" w:color="auto"/>
        <w:left w:val="none" w:sz="0" w:space="0" w:color="auto"/>
        <w:bottom w:val="none" w:sz="0" w:space="0" w:color="auto"/>
        <w:right w:val="none" w:sz="0" w:space="0" w:color="auto"/>
      </w:divBdr>
    </w:div>
    <w:div w:id="891044876">
      <w:bodyDiv w:val="1"/>
      <w:marLeft w:val="0"/>
      <w:marRight w:val="0"/>
      <w:marTop w:val="0"/>
      <w:marBottom w:val="0"/>
      <w:divBdr>
        <w:top w:val="none" w:sz="0" w:space="0" w:color="auto"/>
        <w:left w:val="none" w:sz="0" w:space="0" w:color="auto"/>
        <w:bottom w:val="none" w:sz="0" w:space="0" w:color="auto"/>
        <w:right w:val="none" w:sz="0" w:space="0" w:color="auto"/>
      </w:divBdr>
    </w:div>
    <w:div w:id="908926320">
      <w:bodyDiv w:val="1"/>
      <w:marLeft w:val="0"/>
      <w:marRight w:val="0"/>
      <w:marTop w:val="0"/>
      <w:marBottom w:val="0"/>
      <w:divBdr>
        <w:top w:val="none" w:sz="0" w:space="0" w:color="auto"/>
        <w:left w:val="none" w:sz="0" w:space="0" w:color="auto"/>
        <w:bottom w:val="none" w:sz="0" w:space="0" w:color="auto"/>
        <w:right w:val="none" w:sz="0" w:space="0" w:color="auto"/>
      </w:divBdr>
    </w:div>
    <w:div w:id="940065594">
      <w:bodyDiv w:val="1"/>
      <w:marLeft w:val="0"/>
      <w:marRight w:val="0"/>
      <w:marTop w:val="0"/>
      <w:marBottom w:val="0"/>
      <w:divBdr>
        <w:top w:val="none" w:sz="0" w:space="0" w:color="auto"/>
        <w:left w:val="none" w:sz="0" w:space="0" w:color="auto"/>
        <w:bottom w:val="none" w:sz="0" w:space="0" w:color="auto"/>
        <w:right w:val="none" w:sz="0" w:space="0" w:color="auto"/>
      </w:divBdr>
    </w:div>
    <w:div w:id="1049037882">
      <w:bodyDiv w:val="1"/>
      <w:marLeft w:val="0"/>
      <w:marRight w:val="0"/>
      <w:marTop w:val="0"/>
      <w:marBottom w:val="0"/>
      <w:divBdr>
        <w:top w:val="none" w:sz="0" w:space="0" w:color="auto"/>
        <w:left w:val="none" w:sz="0" w:space="0" w:color="auto"/>
        <w:bottom w:val="none" w:sz="0" w:space="0" w:color="auto"/>
        <w:right w:val="none" w:sz="0" w:space="0" w:color="auto"/>
      </w:divBdr>
    </w:div>
    <w:div w:id="1049381779">
      <w:bodyDiv w:val="1"/>
      <w:marLeft w:val="0"/>
      <w:marRight w:val="0"/>
      <w:marTop w:val="0"/>
      <w:marBottom w:val="0"/>
      <w:divBdr>
        <w:top w:val="none" w:sz="0" w:space="0" w:color="auto"/>
        <w:left w:val="none" w:sz="0" w:space="0" w:color="auto"/>
        <w:bottom w:val="none" w:sz="0" w:space="0" w:color="auto"/>
        <w:right w:val="none" w:sz="0" w:space="0" w:color="auto"/>
      </w:divBdr>
    </w:div>
    <w:div w:id="1096287756">
      <w:bodyDiv w:val="1"/>
      <w:marLeft w:val="0"/>
      <w:marRight w:val="0"/>
      <w:marTop w:val="0"/>
      <w:marBottom w:val="0"/>
      <w:divBdr>
        <w:top w:val="none" w:sz="0" w:space="0" w:color="auto"/>
        <w:left w:val="none" w:sz="0" w:space="0" w:color="auto"/>
        <w:bottom w:val="none" w:sz="0" w:space="0" w:color="auto"/>
        <w:right w:val="none" w:sz="0" w:space="0" w:color="auto"/>
      </w:divBdr>
    </w:div>
    <w:div w:id="1118064034">
      <w:bodyDiv w:val="1"/>
      <w:marLeft w:val="0"/>
      <w:marRight w:val="0"/>
      <w:marTop w:val="0"/>
      <w:marBottom w:val="0"/>
      <w:divBdr>
        <w:top w:val="none" w:sz="0" w:space="0" w:color="auto"/>
        <w:left w:val="none" w:sz="0" w:space="0" w:color="auto"/>
        <w:bottom w:val="none" w:sz="0" w:space="0" w:color="auto"/>
        <w:right w:val="none" w:sz="0" w:space="0" w:color="auto"/>
      </w:divBdr>
    </w:div>
    <w:div w:id="1249313569">
      <w:bodyDiv w:val="1"/>
      <w:marLeft w:val="0"/>
      <w:marRight w:val="0"/>
      <w:marTop w:val="0"/>
      <w:marBottom w:val="0"/>
      <w:divBdr>
        <w:top w:val="none" w:sz="0" w:space="0" w:color="auto"/>
        <w:left w:val="none" w:sz="0" w:space="0" w:color="auto"/>
        <w:bottom w:val="none" w:sz="0" w:space="0" w:color="auto"/>
        <w:right w:val="none" w:sz="0" w:space="0" w:color="auto"/>
      </w:divBdr>
    </w:div>
    <w:div w:id="1308242149">
      <w:bodyDiv w:val="1"/>
      <w:marLeft w:val="0"/>
      <w:marRight w:val="0"/>
      <w:marTop w:val="0"/>
      <w:marBottom w:val="0"/>
      <w:divBdr>
        <w:top w:val="none" w:sz="0" w:space="0" w:color="auto"/>
        <w:left w:val="none" w:sz="0" w:space="0" w:color="auto"/>
        <w:bottom w:val="none" w:sz="0" w:space="0" w:color="auto"/>
        <w:right w:val="none" w:sz="0" w:space="0" w:color="auto"/>
      </w:divBdr>
    </w:div>
    <w:div w:id="137202678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41802935">
      <w:bodyDiv w:val="1"/>
      <w:marLeft w:val="0"/>
      <w:marRight w:val="0"/>
      <w:marTop w:val="0"/>
      <w:marBottom w:val="0"/>
      <w:divBdr>
        <w:top w:val="none" w:sz="0" w:space="0" w:color="auto"/>
        <w:left w:val="none" w:sz="0" w:space="0" w:color="auto"/>
        <w:bottom w:val="none" w:sz="0" w:space="0" w:color="auto"/>
        <w:right w:val="none" w:sz="0" w:space="0" w:color="auto"/>
      </w:divBdr>
    </w:div>
    <w:div w:id="1563054483">
      <w:bodyDiv w:val="1"/>
      <w:marLeft w:val="0"/>
      <w:marRight w:val="0"/>
      <w:marTop w:val="0"/>
      <w:marBottom w:val="0"/>
      <w:divBdr>
        <w:top w:val="none" w:sz="0" w:space="0" w:color="auto"/>
        <w:left w:val="none" w:sz="0" w:space="0" w:color="auto"/>
        <w:bottom w:val="none" w:sz="0" w:space="0" w:color="auto"/>
        <w:right w:val="none" w:sz="0" w:space="0" w:color="auto"/>
      </w:divBdr>
    </w:div>
    <w:div w:id="1749418993">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2001158093">
      <w:bodyDiv w:val="1"/>
      <w:marLeft w:val="0"/>
      <w:marRight w:val="0"/>
      <w:marTop w:val="0"/>
      <w:marBottom w:val="0"/>
      <w:divBdr>
        <w:top w:val="none" w:sz="0" w:space="0" w:color="auto"/>
        <w:left w:val="none" w:sz="0" w:space="0" w:color="auto"/>
        <w:bottom w:val="none" w:sz="0" w:space="0" w:color="auto"/>
        <w:right w:val="none" w:sz="0" w:space="0" w:color="auto"/>
      </w:divBdr>
    </w:div>
    <w:div w:id="2042851009">
      <w:bodyDiv w:val="1"/>
      <w:marLeft w:val="0"/>
      <w:marRight w:val="0"/>
      <w:marTop w:val="0"/>
      <w:marBottom w:val="0"/>
      <w:divBdr>
        <w:top w:val="none" w:sz="0" w:space="0" w:color="auto"/>
        <w:left w:val="none" w:sz="0" w:space="0" w:color="auto"/>
        <w:bottom w:val="none" w:sz="0" w:space="0" w:color="auto"/>
        <w:right w:val="none" w:sz="0" w:space="0" w:color="auto"/>
      </w:divBdr>
    </w:div>
    <w:div w:id="2135059856">
      <w:bodyDiv w:val="1"/>
      <w:marLeft w:val="0"/>
      <w:marRight w:val="0"/>
      <w:marTop w:val="0"/>
      <w:marBottom w:val="0"/>
      <w:divBdr>
        <w:top w:val="none" w:sz="0" w:space="0" w:color="auto"/>
        <w:left w:val="none" w:sz="0" w:space="0" w:color="auto"/>
        <w:bottom w:val="none" w:sz="0" w:space="0" w:color="auto"/>
        <w:right w:val="none" w:sz="0" w:space="0" w:color="auto"/>
      </w:divBdr>
    </w:div>
    <w:div w:id="214141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27-2015-%D0%BF" TargetMode="External"/><Relationship Id="rId3" Type="http://schemas.openxmlformats.org/officeDocument/2006/relationships/settings" Target="settings.xml"/><Relationship Id="rId7" Type="http://schemas.openxmlformats.org/officeDocument/2006/relationships/hyperlink" Target="https://zakon.rada.gov.ua/laws/show/1141-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952-15" TargetMode="External"/><Relationship Id="rId11" Type="http://schemas.openxmlformats.org/officeDocument/2006/relationships/theme" Target="theme/theme1.xml"/><Relationship Id="rId5" Type="http://schemas.openxmlformats.org/officeDocument/2006/relationships/hyperlink" Target="mailto:cnap.pisochin@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z150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3018</Words>
  <Characters>1721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8</cp:revision>
  <cp:lastPrinted>2023-07-25T12:30:00Z</cp:lastPrinted>
  <dcterms:created xsi:type="dcterms:W3CDTF">2023-07-21T07:21:00Z</dcterms:created>
  <dcterms:modified xsi:type="dcterms:W3CDTF">2024-10-14T12:52:00Z</dcterms:modified>
</cp:coreProperties>
</file>