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rFonts w:ascii="Times New Roman" w:hAnsi="Times New Roman"/>
          <w:b/>
          <w:i/>
          <w:i/>
          <w:color w:val="000000"/>
        </w:rPr>
      </w:pPr>
      <w:r>
        <w:rPr>
          <w:rFonts w:ascii="Times New Roman" w:hAnsi="Times New Roman"/>
          <w:b/>
          <w:i/>
          <w:color w:val="000000"/>
        </w:rPr>
      </w:r>
    </w:p>
    <w:p>
      <w:pPr>
        <w:pStyle w:val="Normal"/>
        <w:tabs>
          <w:tab w:val="clear" w:pos="720"/>
          <w:tab w:val="center" w:pos="5040" w:leader="none"/>
        </w:tabs>
        <w:spacing w:lineRule="auto" w:line="240"/>
        <w:ind w:hanging="0" w:left="720"/>
        <w:rPr>
          <w:rFonts w:ascii="Times New Roman" w:hAnsi="Times New Roman"/>
          <w:b/>
          <w:color w:val="000000"/>
          <w:sz w:val="28"/>
          <w:szCs w:val="28"/>
          <w:lang w:eastAsia="ar-SA"/>
        </w:rPr>
      </w:pPr>
      <w:r>
        <w:rPr>
          <w:rFonts w:ascii="Times New Roman" w:hAnsi="Times New Roman"/>
          <w:b/>
          <w:color w:val="000000"/>
          <w:sz w:val="28"/>
          <w:szCs w:val="28"/>
          <w:lang w:eastAsia="ar-SA"/>
        </w:rPr>
        <mc:AlternateContent>
          <mc:Choice Requires="wps">
            <w:drawing>
              <wp:anchor behindDoc="0" distT="0" distB="0" distL="0" distR="0" simplePos="0" locked="0" layoutInCell="1" allowOverlap="1" relativeHeight="2">
                <wp:simplePos x="0" y="0"/>
                <wp:positionH relativeFrom="column">
                  <wp:posOffset>2930525</wp:posOffset>
                </wp:positionH>
                <wp:positionV relativeFrom="paragraph">
                  <wp:posOffset>285115</wp:posOffset>
                </wp:positionV>
                <wp:extent cx="294640" cy="269240"/>
                <wp:effectExtent l="0" t="0" r="0" b="0"/>
                <wp:wrapNone/>
                <wp:docPr id="1" name="Фігура1"/>
                <a:graphic xmlns:a="http://schemas.openxmlformats.org/drawingml/2006/main">
                  <a:graphicData uri="http://schemas.microsoft.com/office/word/2010/wordprocessingShape">
                    <wps:wsp>
                      <wps:cNvSpPr/>
                      <wps:spPr>
                        <a:xfrm>
                          <a:off x="0" y="0"/>
                          <a:ext cx="294480" cy="269280"/>
                        </a:xfrm>
                        <a:prstGeom prst="rect">
                          <a:avLst/>
                        </a:prstGeom>
                        <a:solidFill>
                          <a:srgbClr val="231f1c"/>
                        </a:solidFill>
                        <a:ln w="936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3">
                <wp:simplePos x="0" y="0"/>
                <wp:positionH relativeFrom="column">
                  <wp:posOffset>3209925</wp:posOffset>
                </wp:positionH>
                <wp:positionV relativeFrom="paragraph">
                  <wp:posOffset>-211455</wp:posOffset>
                </wp:positionV>
                <wp:extent cx="15240" cy="495935"/>
                <wp:effectExtent l="0" t="635" r="635" b="0"/>
                <wp:wrapNone/>
                <wp:docPr id="2" name="Фігура2"/>
                <a:graphic xmlns:a="http://schemas.openxmlformats.org/drawingml/2006/main">
                  <a:graphicData uri="http://schemas.microsoft.com/office/word/2010/wordprocessingShape">
                    <wps:wsp>
                      <wps:cNvSpPr/>
                      <wps:spPr>
                        <a:xfrm>
                          <a:off x="0" y="0"/>
                          <a:ext cx="15120" cy="496080"/>
                        </a:xfrm>
                        <a:prstGeom prst="rect">
                          <a:avLst/>
                        </a:prstGeom>
                        <a:solidFill>
                          <a:srgbClr val="231f1c"/>
                        </a:solidFill>
                        <a:ln w="936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4">
                <wp:simplePos x="0" y="0"/>
                <wp:positionH relativeFrom="column">
                  <wp:posOffset>2641600</wp:posOffset>
                </wp:positionH>
                <wp:positionV relativeFrom="paragraph">
                  <wp:posOffset>-211455</wp:posOffset>
                </wp:positionV>
                <wp:extent cx="577215" cy="12700"/>
                <wp:effectExtent l="635" t="0" r="0" b="0"/>
                <wp:wrapNone/>
                <wp:docPr id="3" name="Фігура3"/>
                <a:graphic xmlns:a="http://schemas.openxmlformats.org/drawingml/2006/main">
                  <a:graphicData uri="http://schemas.microsoft.com/office/word/2010/wordprocessingShape">
                    <wps:wsp>
                      <wps:cNvSpPr/>
                      <wps:spPr>
                        <a:xfrm>
                          <a:off x="0" y="0"/>
                          <a:ext cx="577080" cy="12600"/>
                        </a:xfrm>
                        <a:prstGeom prst="rect">
                          <a:avLst/>
                        </a:prstGeom>
                        <a:solidFill>
                          <a:srgbClr val="231f1c"/>
                        </a:solidFill>
                        <a:ln w="936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5">
                <wp:simplePos x="0" y="0"/>
                <wp:positionH relativeFrom="column">
                  <wp:posOffset>2641600</wp:posOffset>
                </wp:positionH>
                <wp:positionV relativeFrom="paragraph">
                  <wp:posOffset>-205740</wp:posOffset>
                </wp:positionV>
                <wp:extent cx="15240" cy="490220"/>
                <wp:effectExtent l="0" t="0" r="0" b="0"/>
                <wp:wrapNone/>
                <wp:docPr id="4" name="Фігура4"/>
                <a:graphic xmlns:a="http://schemas.openxmlformats.org/drawingml/2006/main">
                  <a:graphicData uri="http://schemas.microsoft.com/office/word/2010/wordprocessingShape">
                    <wps:wsp>
                      <wps:cNvSpPr/>
                      <wps:spPr>
                        <a:xfrm>
                          <a:off x="0" y="0"/>
                          <a:ext cx="15120" cy="490320"/>
                        </a:xfrm>
                        <a:prstGeom prst="rect">
                          <a:avLst/>
                        </a:prstGeom>
                        <a:solidFill>
                          <a:srgbClr val="231f1c"/>
                        </a:solidFill>
                        <a:ln w="9360">
                          <a:noFill/>
                        </a:ln>
                      </wps:spPr>
                      <wps:style>
                        <a:lnRef idx="0"/>
                        <a:fillRef idx="0"/>
                        <a:effectRef idx="0"/>
                        <a:fontRef idx="minor"/>
                      </wps:style>
                      <wps:bodyPr/>
                    </wps:wsp>
                  </a:graphicData>
                </a:graphic>
              </wp:anchor>
            </w:drawing>
          </mc:Choice>
          <mc:Fallback>
            <w:pict>
              <v:rect id="shape_0" ID="Фігура4" fillcolor="#231f1c" stroked="f" o:allowincell="f" style="position:absolute;margin-left:208pt;margin-top:-16.2pt;width:1.15pt;height:38.55pt;mso-wrap-style:none;v-text-anchor:middle">
                <v:textbox>
                  <w:txbxContent>
                    <w:p>
                      <w:pPr>
                        <w:overflowPunct w:val="false"/>
                        <w:spacing w:before="0" w:after="0" w:lineRule="auto" w:line="240"/>
                        <w:rPr/>
                      </w:pPr>
                      <w:r>
                        <w:rPr>
                          <w:rFonts w:eastAsia="Calibri" w:cs=""/>
                          <w:lang w:val="en-US" w:eastAsia="en-US"/>
                        </w:rPr>
                      </w:r>
                    </w:p>
                  </w:txbxContent>
                </v:textbox>
                <v:fill o:detectmouseclick="t" color2="#dce0e3"/>
                <v:stroke color="#3465a4" weight="9360" joinstyle="round" endcap="flat"/>
                <w10:wrap type="none"/>
              </v:rect>
            </w:pict>
          </mc:Fallback>
        </mc:AlternateContent>
        <mc:AlternateContent>
          <mc:Choice Requires="wps">
            <w:drawing>
              <wp:anchor behindDoc="0" distT="0" distB="0" distL="0" distR="0" simplePos="0" locked="0" layoutInCell="1" allowOverlap="1" relativeHeight="6">
                <wp:simplePos x="0" y="0"/>
                <wp:positionH relativeFrom="column">
                  <wp:posOffset>2641600</wp:posOffset>
                </wp:positionH>
                <wp:positionV relativeFrom="paragraph">
                  <wp:posOffset>285115</wp:posOffset>
                </wp:positionV>
                <wp:extent cx="294640" cy="269240"/>
                <wp:effectExtent l="635" t="0" r="0" b="0"/>
                <wp:wrapNone/>
                <wp:docPr id="5" name="Фігура5"/>
                <a:graphic xmlns:a="http://schemas.openxmlformats.org/drawingml/2006/main">
                  <a:graphicData uri="http://schemas.microsoft.com/office/word/2010/wordprocessingShape">
                    <wps:wsp>
                      <wps:cNvSpPr/>
                      <wps:spPr>
                        <a:xfrm>
                          <a:off x="0" y="0"/>
                          <a:ext cx="294480" cy="269280"/>
                        </a:xfrm>
                        <a:prstGeom prst="rect">
                          <a:avLst/>
                        </a:prstGeom>
                        <a:solidFill>
                          <a:srgbClr val="231f1c"/>
                        </a:solidFill>
                        <a:ln w="936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7">
                <wp:simplePos x="0" y="0"/>
                <wp:positionH relativeFrom="column">
                  <wp:posOffset>2747645</wp:posOffset>
                </wp:positionH>
                <wp:positionV relativeFrom="paragraph">
                  <wp:posOffset>-155575</wp:posOffset>
                </wp:positionV>
                <wp:extent cx="361950" cy="634365"/>
                <wp:effectExtent l="0" t="635" r="0" b="0"/>
                <wp:wrapNone/>
                <wp:docPr id="6" name="Фігура6"/>
                <a:graphic xmlns:a="http://schemas.openxmlformats.org/drawingml/2006/main">
                  <a:graphicData uri="http://schemas.microsoft.com/office/word/2010/wordprocessingShape">
                    <wps:wsp>
                      <wps:cNvSpPr/>
                      <wps:spPr>
                        <a:xfrm>
                          <a:off x="0" y="0"/>
                          <a:ext cx="361800" cy="634320"/>
                        </a:xfrm>
                        <a:prstGeom prst="rect">
                          <a:avLst/>
                        </a:prstGeom>
                        <a:solidFill>
                          <a:srgbClr val="231f1c"/>
                        </a:solidFill>
                        <a:ln w="9360">
                          <a:noFill/>
                        </a:ln>
                      </wps:spPr>
                      <wps:style>
                        <a:lnRef idx="0"/>
                        <a:fillRef idx="0"/>
                        <a:effectRef idx="0"/>
                        <a:fontRef idx="minor"/>
                      </wps:style>
                      <wps:bodyPr/>
                    </wps:wsp>
                  </a:graphicData>
                </a:graphic>
              </wp:anchor>
            </w:drawing>
          </mc:Choice>
          <mc:Fallback>
            <w:pict/>
          </mc:Fallback>
        </mc:AlternateContent>
      </w:r>
    </w:p>
    <w:p>
      <w:pPr>
        <w:pStyle w:val="Normal"/>
        <w:tabs>
          <w:tab w:val="clear" w:pos="720"/>
          <w:tab w:val="center" w:pos="5040" w:leader="none"/>
        </w:tabs>
        <w:spacing w:lineRule="auto" w:line="240"/>
        <w:ind w:hanging="0" w:left="720"/>
        <w:rPr>
          <w:color w:val="000000"/>
        </w:rPr>
      </w:pPr>
      <w:r>
        <w:rPr>
          <w:rFonts w:ascii="Times New Roman" w:hAnsi="Times New Roman"/>
          <w:b/>
          <w:color w:val="000000"/>
          <w:sz w:val="28"/>
          <w:szCs w:val="28"/>
          <w:lang w:eastAsia="ar-SA"/>
        </w:rPr>
        <w:tab/>
      </w:r>
    </w:p>
    <w:p>
      <w:pPr>
        <w:pStyle w:val="Normal"/>
        <w:tabs>
          <w:tab w:val="clear" w:pos="720"/>
          <w:tab w:val="left" w:pos="3940" w:leader="none"/>
          <w:tab w:val="center" w:pos="5037" w:leader="none"/>
        </w:tabs>
        <w:spacing w:lineRule="auto" w:line="240"/>
        <w:ind w:hanging="0" w:left="720"/>
        <w:rPr>
          <w:color w:val="000000"/>
        </w:rPr>
      </w:pPr>
      <w:r>
        <w:rPr>
          <w:rFonts w:ascii="Times New Roman" w:hAnsi="Times New Roman"/>
          <w:b/>
          <w:color w:val="000000"/>
          <w:lang w:eastAsia="ar-SA"/>
        </w:rPr>
        <w:tab/>
      </w:r>
      <w:r>
        <w:rPr>
          <w:rFonts w:ascii="Times New Roman" w:hAnsi="Times New Roman"/>
          <w:b/>
          <w:color w:val="000000"/>
          <w:lang w:val="uk-UA" w:eastAsia="ar-SA"/>
        </w:rPr>
        <w:t xml:space="preserve">  УКРАЇНА</w:t>
      </w:r>
    </w:p>
    <w:p>
      <w:pPr>
        <w:pStyle w:val="Normal"/>
        <w:keepNext w:val="true"/>
        <w:spacing w:lineRule="auto" w:line="240" w:before="0" w:after="0"/>
        <w:jc w:val="center"/>
        <w:rPr>
          <w:lang w:val="uk-UA"/>
        </w:rPr>
      </w:pPr>
      <w:r>
        <w:rPr>
          <w:rFonts w:ascii="Times New Roman" w:hAnsi="Times New Roman"/>
          <w:b/>
          <w:color w:val="000000"/>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color w:val="000000"/>
          <w:sz w:val="28"/>
          <w:szCs w:val="28"/>
          <w:lang w:val="uk-UA"/>
        </w:rPr>
        <w:t>ОДЕСЬКОЇ ОБЛАСТІ                                                                                           ХLІІ сесія VІІІ скликання</w:t>
      </w:r>
    </w:p>
    <w:p>
      <w:pPr>
        <w:pStyle w:val="Normal"/>
        <w:tabs>
          <w:tab w:val="clear" w:pos="720"/>
          <w:tab w:val="center" w:pos="5040" w:leader="none"/>
        </w:tabs>
        <w:spacing w:lineRule="auto" w:line="240" w:before="0" w:after="0"/>
        <w:ind w:left="720"/>
        <w:jc w:val="center"/>
        <w:rPr>
          <w:lang w:val="uk-UA"/>
        </w:rPr>
      </w:pPr>
      <w:r>
        <w:rPr>
          <w:rFonts w:ascii="Times New Roman" w:hAnsi="Times New Roman"/>
          <w:b/>
          <w:bCs/>
          <w:color w:val="000000"/>
          <w:sz w:val="28"/>
          <w:szCs w:val="28"/>
          <w:lang w:val="uk-UA"/>
        </w:rPr>
        <w:t>ПРОЄКТ  РІШЕННЯ</w:t>
      </w:r>
    </w:p>
    <w:p>
      <w:pPr>
        <w:pStyle w:val="Normal"/>
        <w:spacing w:lineRule="auto" w:line="240" w:before="0" w:after="0"/>
        <w:jc w:val="center"/>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rPr>
          <w:rFonts w:ascii="Times New Roman" w:hAnsi="Times New Roman"/>
          <w:b/>
          <w:sz w:val="24"/>
          <w:szCs w:val="24"/>
          <w:lang w:val="uk-UA"/>
        </w:rPr>
      </w:pPr>
      <w:r>
        <w:rPr>
          <w:rFonts w:ascii="Times New Roman" w:hAnsi="Times New Roman"/>
          <w:b/>
          <w:sz w:val="24"/>
          <w:szCs w:val="24"/>
          <w:lang w:val="uk-UA"/>
        </w:rPr>
        <w:t xml:space="preserve">Про встановлення на території Роздільнянської </w:t>
      </w:r>
    </w:p>
    <w:p>
      <w:pPr>
        <w:pStyle w:val="Normal"/>
        <w:spacing w:lineRule="auto" w:line="240" w:before="0" w:after="0"/>
        <w:rPr>
          <w:rFonts w:ascii="Times New Roman" w:hAnsi="Times New Roman"/>
          <w:sz w:val="24"/>
          <w:szCs w:val="24"/>
          <w:lang w:val="uk-UA"/>
        </w:rPr>
      </w:pPr>
      <w:r>
        <w:rPr>
          <w:rFonts w:ascii="Times New Roman" w:hAnsi="Times New Roman"/>
          <w:b/>
          <w:sz w:val="24"/>
          <w:szCs w:val="24"/>
          <w:lang w:val="uk-UA"/>
        </w:rPr>
        <w:t>міської територіальної громади ставок та пільг</w:t>
      </w:r>
    </w:p>
    <w:p>
      <w:pPr>
        <w:pStyle w:val="Style15"/>
        <w:spacing w:before="0" w:after="0"/>
        <w:jc w:val="left"/>
        <w:rPr>
          <w:rFonts w:ascii="Times New Roman" w:hAnsi="Times New Roman"/>
          <w:sz w:val="24"/>
          <w:szCs w:val="24"/>
        </w:rPr>
      </w:pPr>
      <w:r>
        <w:rPr>
          <w:rFonts w:ascii="Times New Roman" w:hAnsi="Times New Roman"/>
          <w:sz w:val="24"/>
          <w:szCs w:val="24"/>
        </w:rPr>
        <w:t xml:space="preserve">із сплати податку на нерухоме майно, </w:t>
      </w:r>
    </w:p>
    <w:p>
      <w:pPr>
        <w:pStyle w:val="Style15"/>
        <w:spacing w:before="0" w:after="0"/>
        <w:jc w:val="left"/>
        <w:rPr>
          <w:rFonts w:ascii="Times New Roman" w:hAnsi="Times New Roman"/>
          <w:sz w:val="24"/>
          <w:szCs w:val="24"/>
        </w:rPr>
      </w:pPr>
      <w:r>
        <w:rPr>
          <w:rFonts w:ascii="Times New Roman" w:hAnsi="Times New Roman"/>
          <w:sz w:val="24"/>
          <w:szCs w:val="24"/>
        </w:rPr>
        <w:t>відмінне від земельної ділянки, на 2025 рік</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Відповідно до пп. 10.1.1 п. 10.1, п. 10.3 ст. 10, ст.ст. 12, 266 Податкового кодексу України, ст. 35 Закону України «Про засади державної регуляторної політики у сфері господарської діяльності», п.п. 1.10, 1.11, 1.13, 5.1, 6.1, 6.2 Положення про податок на нерухоме майно, відмінне від земельної ділянки, в місті Роздільна, що затверджений рішенням Роздільнянської міської ради від 30 червня 2011 року №263-VI (в редакції рішення №940-VІII від 08 липня 2021 року), враховуючи лист Головного управління ДПС в Одеській області від 18 березня 2024 року № 6698/5/15-32-04-09-05, висновки Постійної комісії міської ради з питань  бюджету, фінансування, інвестицій, реалізації державної регуляторної політики, керуючись п. 24 ч. 1 ст. 26 Закону України «Про місцеве самоврядування в Україні», Роздільнянська  міська рада</w:t>
      </w:r>
    </w:p>
    <w:p>
      <w:pPr>
        <w:pStyle w:val="Normal"/>
        <w:spacing w:lineRule="auto" w:line="240" w:before="0" w:after="0"/>
        <w:ind w:firstLine="708"/>
        <w:jc w:val="both"/>
        <w:rPr>
          <w:rFonts w:ascii="Times New Roman" w:hAnsi="Times New Roman"/>
          <w:sz w:val="24"/>
          <w:szCs w:val="24"/>
          <w:lang w:val="uk-UA"/>
        </w:rPr>
      </w:pPr>
      <w:r>
        <w:rPr>
          <w:rFonts w:ascii="Times New Roman" w:hAnsi="Times New Roman"/>
          <w:sz w:val="24"/>
          <w:szCs w:val="24"/>
          <w:lang w:val="uk-UA"/>
        </w:rPr>
        <w:t xml:space="preserve"> </w:t>
      </w:r>
    </w:p>
    <w:p>
      <w:pPr>
        <w:pStyle w:val="Style16"/>
        <w:spacing w:before="0" w:after="0"/>
        <w:ind w:hanging="0"/>
        <w:jc w:val="both"/>
        <w:rPr>
          <w:rFonts w:ascii="Times New Roman" w:hAnsi="Times New Roman"/>
          <w:b/>
          <w:sz w:val="24"/>
          <w:szCs w:val="24"/>
        </w:rPr>
      </w:pPr>
      <w:r>
        <w:rPr>
          <w:rFonts w:ascii="Times New Roman" w:hAnsi="Times New Roman"/>
          <w:b/>
          <w:sz w:val="24"/>
          <w:szCs w:val="24"/>
        </w:rPr>
        <w:t>ВИРІШИЛА:</w:t>
      </w:r>
    </w:p>
    <w:p>
      <w:pPr>
        <w:pStyle w:val="Style16"/>
        <w:spacing w:before="0" w:after="0"/>
        <w:ind w:hanging="0"/>
        <w:jc w:val="both"/>
        <w:rPr>
          <w:rFonts w:ascii="Times New Roman" w:hAnsi="Times New Roman"/>
          <w:b/>
          <w:sz w:val="24"/>
          <w:szCs w:val="24"/>
        </w:rPr>
      </w:pPr>
      <w:r>
        <w:rPr>
          <w:rFonts w:ascii="Times New Roman" w:hAnsi="Times New Roman"/>
          <w:b/>
          <w:sz w:val="24"/>
          <w:szCs w:val="24"/>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t>1. Установити на території  Роздільнянської міської територіальної громади:</w:t>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Style16"/>
        <w:spacing w:before="0" w:after="0"/>
        <w:ind w:hanging="0"/>
        <w:jc w:val="both"/>
        <w:rPr>
          <w:rFonts w:ascii="Times New Roman" w:hAnsi="Times New Roman"/>
          <w:sz w:val="24"/>
          <w:szCs w:val="24"/>
        </w:rPr>
      </w:pPr>
      <w:r>
        <w:rPr>
          <w:rFonts w:ascii="Times New Roman" w:hAnsi="Times New Roman"/>
          <w:sz w:val="24"/>
          <w:szCs w:val="24"/>
        </w:rPr>
        <w:t xml:space="preserve">1) ставки податку на нерухоме майно, відмінне від земельної ділянки, на 2025 рік в залежності від місця розташування (зональності) та типів об’єктів нерухомості згідно з </w:t>
      </w:r>
      <w:r>
        <w:rPr>
          <w:rFonts w:ascii="Times New Roman" w:hAnsi="Times New Roman"/>
          <w:b/>
          <w:i/>
          <w:sz w:val="24"/>
          <w:szCs w:val="24"/>
        </w:rPr>
        <w:t>додатком 1</w:t>
      </w:r>
      <w:r>
        <w:rPr>
          <w:rFonts w:ascii="Times New Roman" w:hAnsi="Times New Roman"/>
          <w:sz w:val="24"/>
          <w:szCs w:val="24"/>
        </w:rPr>
        <w:t>;</w:t>
      </w:r>
    </w:p>
    <w:p>
      <w:pPr>
        <w:pStyle w:val="Style16"/>
        <w:spacing w:before="0" w:after="0"/>
        <w:ind w:hanging="0"/>
        <w:jc w:val="both"/>
        <w:rPr>
          <w:rFonts w:ascii="Times New Roman" w:hAnsi="Times New Roman"/>
          <w:sz w:val="24"/>
          <w:szCs w:val="24"/>
        </w:rPr>
      </w:pPr>
      <w:r>
        <w:rPr>
          <w:rFonts w:ascii="Times New Roman" w:hAnsi="Times New Roman"/>
          <w:sz w:val="24"/>
          <w:szCs w:val="24"/>
        </w:rPr>
      </w:r>
    </w:p>
    <w:p>
      <w:pPr>
        <w:pStyle w:val="Style16"/>
        <w:spacing w:before="0" w:after="0"/>
        <w:ind w:hanging="0"/>
        <w:jc w:val="both"/>
        <w:rPr>
          <w:rFonts w:ascii="Times New Roman" w:hAnsi="Times New Roman"/>
          <w:sz w:val="24"/>
          <w:szCs w:val="24"/>
        </w:rPr>
      </w:pPr>
      <w:r>
        <w:rPr>
          <w:rFonts w:ascii="Times New Roman" w:hAnsi="Times New Roman"/>
          <w:sz w:val="24"/>
          <w:szCs w:val="24"/>
        </w:rPr>
        <w:t xml:space="preserve">2) пільги для фізичних та юридичних осіб, надані відповідно до підпункту 266.4.2 пункту 266.4 статті 266 Податкового кодексу України, із сплати податку на нерухоме майно, відмінне від земельної ділянки за переліком згідно з </w:t>
      </w:r>
      <w:r>
        <w:rPr>
          <w:rFonts w:ascii="Times New Roman" w:hAnsi="Times New Roman"/>
          <w:b/>
          <w:i/>
          <w:sz w:val="24"/>
          <w:szCs w:val="24"/>
        </w:rPr>
        <w:t>додатком 2</w:t>
      </w:r>
      <w:r>
        <w:rPr>
          <w:rFonts w:ascii="Times New Roman" w:hAnsi="Times New Roman"/>
          <w:sz w:val="24"/>
          <w:szCs w:val="24"/>
        </w:rPr>
        <w:t>.</w:t>
      </w:r>
    </w:p>
    <w:p>
      <w:pPr>
        <w:pStyle w:val="Style16"/>
        <w:spacing w:before="0" w:after="0"/>
        <w:ind w:hanging="0"/>
        <w:jc w:val="both"/>
        <w:rPr>
          <w:rFonts w:ascii="Times New Roman" w:hAnsi="Times New Roman"/>
          <w:sz w:val="24"/>
          <w:szCs w:val="24"/>
        </w:rPr>
      </w:pPr>
      <w:r>
        <w:rPr>
          <w:rFonts w:ascii="Times New Roman" w:hAnsi="Times New Roman"/>
          <w:sz w:val="24"/>
          <w:szCs w:val="24"/>
        </w:rPr>
      </w:r>
    </w:p>
    <w:p>
      <w:pPr>
        <w:pStyle w:val="Normal"/>
        <w:spacing w:before="0" w:after="0"/>
        <w:jc w:val="both"/>
        <w:rPr>
          <w:rFonts w:ascii="Times New Roman" w:hAnsi="Times New Roman"/>
          <w:color w:val="000000"/>
          <w:sz w:val="24"/>
          <w:szCs w:val="24"/>
          <w:lang w:val="uk-UA"/>
        </w:rPr>
      </w:pPr>
      <w:r>
        <w:rPr>
          <w:rFonts w:ascii="Times New Roman" w:hAnsi="Times New Roman"/>
          <w:color w:val="000000"/>
          <w:sz w:val="24"/>
          <w:szCs w:val="24"/>
          <w:lang w:val="uk-UA"/>
        </w:rPr>
        <w:t xml:space="preserve">2. Фінансовому управлінню Роздільнянської міської ради у десятиденний строк </w:t>
      </w:r>
      <w:r>
        <w:rPr>
          <w:rFonts w:ascii="Times New Roman" w:hAnsi="Times New Roman"/>
          <w:color w:val="000000"/>
          <w:sz w:val="24"/>
          <w:szCs w:val="24"/>
          <w:shd w:fill="FFFFFF" w:val="clear"/>
          <w:lang w:val="uk-UA"/>
        </w:rPr>
        <w:t>з дня прийняття даного рішення, але не пізніше 25 липня 2024 року,</w:t>
      </w:r>
      <w:r>
        <w:rPr>
          <w:rFonts w:ascii="Times New Roman" w:hAnsi="Times New Roman"/>
          <w:color w:val="000000"/>
          <w:sz w:val="24"/>
          <w:szCs w:val="24"/>
          <w:lang w:val="uk-UA"/>
        </w:rPr>
        <w:t xml:space="preserve"> надіслати до Головного управління Державної податкової служби України в Одеській області копію даного рішення й інформацію щодо ставок та пільг із сплати податку на нерухоме майно, відмінне від земельної ділянки на 2025 рік відповідно до Порядку та форми надання контролюючим органам в електронному вигляді інформації щодо ставок та податкових</w:t>
      </w:r>
      <w:r>
        <w:rPr>
          <w:rFonts w:ascii="Times New Roman" w:hAnsi="Times New Roman"/>
          <w:sz w:val="24"/>
          <w:szCs w:val="24"/>
          <w:lang w:val="uk-UA"/>
        </w:rPr>
        <w:t xml:space="preserve"> пільг із сплати місцевих податків та/або зборів, затвердженого постановою Кабінету Міністрів України від 28 грудня 2020 року № 1330. </w:t>
      </w:r>
    </w:p>
    <w:p>
      <w:pPr>
        <w:pStyle w:val="Normal"/>
        <w:spacing w:before="0" w:after="0"/>
        <w:jc w:val="both"/>
        <w:rPr>
          <w:rFonts w:ascii="Times New Roman" w:hAnsi="Times New Roman"/>
          <w:bCs/>
          <w:sz w:val="24"/>
          <w:szCs w:val="24"/>
          <w:lang w:val="uk-UA"/>
        </w:rPr>
      </w:pPr>
      <w:r>
        <w:rPr>
          <w:rFonts w:ascii="Times New Roman" w:hAnsi="Times New Roman"/>
          <w:bCs/>
          <w:sz w:val="24"/>
          <w:szCs w:val="24"/>
          <w:lang w:val="uk-UA"/>
        </w:rPr>
      </w:r>
    </w:p>
    <w:p>
      <w:pPr>
        <w:pStyle w:val="Normal"/>
        <w:spacing w:before="0" w:after="0"/>
        <w:jc w:val="both"/>
        <w:rPr>
          <w:rFonts w:ascii="Times New Roman" w:hAnsi="Times New Roman"/>
          <w:color w:val="000000"/>
          <w:sz w:val="24"/>
          <w:szCs w:val="24"/>
          <w:lang w:val="uk-UA"/>
        </w:rPr>
      </w:pPr>
      <w:r>
        <w:rPr>
          <w:rFonts w:ascii="Times New Roman" w:hAnsi="Times New Roman"/>
          <w:sz w:val="24"/>
          <w:szCs w:val="24"/>
          <w:lang w:val="uk-UA"/>
        </w:rPr>
        <w:t>3. Сектору комунікацій апарату Роздільнянської міської ради та її виконавчого комітету</w:t>
      </w:r>
      <w:r>
        <w:rPr>
          <w:rFonts w:ascii="Times New Roman" w:hAnsi="Times New Roman"/>
          <w:color w:val="000000"/>
          <w:sz w:val="24"/>
          <w:szCs w:val="24"/>
          <w:lang w:val="uk-UA"/>
        </w:rPr>
        <w:t xml:space="preserve"> у п’ятиденний термін оприлюднити дане рішення на офіційному веб-сайті міської ради.  </w:t>
      </w:r>
    </w:p>
    <w:p>
      <w:pPr>
        <w:pStyle w:val="Normal"/>
        <w:spacing w:before="0" w:after="0"/>
        <w:jc w:val="both"/>
        <w:rPr>
          <w:rFonts w:ascii="Times New Roman" w:hAnsi="Times New Roman"/>
          <w:color w:val="000000"/>
          <w:sz w:val="24"/>
          <w:szCs w:val="24"/>
          <w:lang w:val="uk-UA"/>
        </w:rPr>
      </w:pPr>
      <w:r>
        <w:rPr>
          <w:rFonts w:ascii="Times New Roman" w:hAnsi="Times New Roman"/>
          <w:color w:val="000000"/>
          <w:sz w:val="24"/>
          <w:szCs w:val="24"/>
          <w:lang w:val="uk-UA"/>
        </w:rPr>
      </w:r>
    </w:p>
    <w:p>
      <w:pPr>
        <w:pStyle w:val="Normal"/>
        <w:spacing w:before="0" w:after="0"/>
        <w:jc w:val="both"/>
        <w:rPr>
          <w:rFonts w:ascii="Times New Roman" w:hAnsi="Times New Roman"/>
          <w:sz w:val="24"/>
          <w:szCs w:val="24"/>
          <w:lang w:val="uk-UA"/>
        </w:rPr>
      </w:pPr>
      <w:r>
        <w:rPr>
          <w:rFonts w:ascii="Times New Roman" w:hAnsi="Times New Roman"/>
          <w:sz w:val="24"/>
          <w:szCs w:val="24"/>
          <w:lang w:val="uk-UA"/>
        </w:rPr>
        <w:t>4. Це рішення набирає чинності з 01 січня 2025 року.</w:t>
      </w:r>
    </w:p>
    <w:p>
      <w:pPr>
        <w:pStyle w:val="Normal"/>
        <w:spacing w:before="0" w:after="0"/>
        <w:jc w:val="both"/>
        <w:rPr>
          <w:rFonts w:ascii="Times New Roman" w:hAnsi="Times New Roman"/>
          <w:sz w:val="24"/>
          <w:szCs w:val="24"/>
          <w:lang w:val="uk-UA"/>
        </w:rPr>
      </w:pPr>
      <w:r>
        <w:rPr>
          <w:rFonts w:ascii="Times New Roman" w:hAnsi="Times New Roman"/>
          <w:sz w:val="24"/>
          <w:szCs w:val="24"/>
          <w:lang w:val="uk-UA"/>
        </w:rPr>
      </w:r>
    </w:p>
    <w:p>
      <w:pPr>
        <w:pStyle w:val="Normal"/>
        <w:widowControl w:val="false"/>
        <w:spacing w:before="0" w:after="0"/>
        <w:jc w:val="both"/>
        <w:rPr>
          <w:rFonts w:ascii="Times New Roman" w:hAnsi="Times New Roman"/>
          <w:b/>
          <w:sz w:val="24"/>
          <w:szCs w:val="24"/>
          <w:lang w:val="uk-UA"/>
        </w:rPr>
      </w:pPr>
      <w:r>
        <w:rPr>
          <w:rFonts w:ascii="Times New Roman" w:hAnsi="Times New Roman"/>
          <w:sz w:val="24"/>
          <w:szCs w:val="24"/>
          <w:lang w:val="uk-UA"/>
        </w:rPr>
        <w:t>5. Контроль за виконанням даного рішення покласти на постійну комісію міської ради з питань бюджету, фінансування, інвестицій, реалізації державної регуляторної політики.</w:t>
      </w:r>
    </w:p>
    <w:p>
      <w:pPr>
        <w:pStyle w:val="Normal"/>
        <w:widowControl w:val="false"/>
        <w:spacing w:before="0" w:after="0"/>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p>
      <w:pPr>
        <w:pStyle w:val="Normal"/>
        <w:widowControl w:val="false"/>
        <w:spacing w:before="0" w:after="0"/>
        <w:rPr>
          <w:rFonts w:ascii="Times New Roman" w:hAnsi="Times New Roman"/>
          <w:b/>
          <w:sz w:val="20"/>
          <w:szCs w:val="20"/>
          <w:lang w:val="uk-UA"/>
        </w:rPr>
      </w:pPr>
      <w:r>
        <w:rPr>
          <w:rFonts w:ascii="Times New Roman" w:hAnsi="Times New Roman"/>
          <w:b/>
          <w:sz w:val="20"/>
          <w:szCs w:val="20"/>
          <w:lang w:val="uk-UA"/>
        </w:rPr>
      </w:r>
    </w:p>
    <w:p>
      <w:pPr>
        <w:pStyle w:val="Normal"/>
        <w:spacing w:before="0" w:after="0"/>
        <w:rPr>
          <w:rFonts w:ascii="Times New Roman" w:hAnsi="Times New Roman"/>
          <w:b/>
          <w:sz w:val="20"/>
          <w:szCs w:val="20"/>
          <w:lang w:val="uk-UA"/>
        </w:rPr>
      </w:pPr>
      <w:r>
        <w:rPr>
          <w:rFonts w:ascii="Times New Roman" w:hAnsi="Times New Roman"/>
          <w:b/>
          <w:sz w:val="20"/>
          <w:szCs w:val="20"/>
          <w:lang w:val="uk-UA"/>
        </w:rPr>
        <w:t>ПОГОДЖЕНО:</w:t>
      </w:r>
    </w:p>
    <w:p>
      <w:pPr>
        <w:pStyle w:val="Normal"/>
        <w:spacing w:before="0" w:after="0"/>
        <w:rPr>
          <w:rFonts w:ascii="Times New Roman" w:hAnsi="Times New Roman"/>
          <w:b/>
          <w:sz w:val="20"/>
          <w:szCs w:val="20"/>
          <w:lang w:val="uk-UA"/>
        </w:rPr>
      </w:pPr>
      <w:r>
        <w:rPr>
          <w:rFonts w:ascii="Times New Roman" w:hAnsi="Times New Roman"/>
          <w:b/>
          <w:sz w:val="20"/>
          <w:szCs w:val="20"/>
          <w:lang w:val="uk-UA"/>
        </w:rPr>
      </w:r>
    </w:p>
    <w:tbl>
      <w:tblPr>
        <w:tblW w:w="10008"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5316"/>
        <w:gridCol w:w="1659"/>
        <w:gridCol w:w="1917"/>
        <w:gridCol w:w="1115"/>
      </w:tblGrid>
      <w:tr>
        <w:trPr>
          <w:trHeight w:val="516" w:hRule="atLeast"/>
        </w:trPr>
        <w:tc>
          <w:tcPr>
            <w:tcW w:w="5316"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t>Заступник голови постійної комісії міської ради з питань бюджету, фінансування, інвестицій, реалізації державної регуляторної політики</w:t>
            </w:r>
          </w:p>
        </w:tc>
        <w:tc>
          <w:tcPr>
            <w:tcW w:w="1659" w:type="dxa"/>
            <w:tcBorders>
              <w:bottom w:val="single" w:sz="4" w:space="0" w:color="000000"/>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tc>
        <w:tc>
          <w:tcPr>
            <w:tcW w:w="1917"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 xml:space="preserve">О.М. Панкратов </w:t>
            </w:r>
          </w:p>
        </w:tc>
        <w:tc>
          <w:tcPr>
            <w:tcW w:w="1115"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tc>
      </w:tr>
      <w:tr>
        <w:trPr/>
        <w:tc>
          <w:tcPr>
            <w:tcW w:w="5316"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Секретар міської ради</w:t>
            </w:r>
          </w:p>
        </w:tc>
        <w:tc>
          <w:tcPr>
            <w:tcW w:w="1659" w:type="dxa"/>
            <w:tcBorders>
              <w:top w:val="single" w:sz="4" w:space="0" w:color="000000"/>
              <w:bottom w:val="single" w:sz="4" w:space="0" w:color="000000"/>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tc>
        <w:tc>
          <w:tcPr>
            <w:tcW w:w="1917"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Т.М. Антонова-Левченко</w:t>
            </w:r>
          </w:p>
        </w:tc>
        <w:tc>
          <w:tcPr>
            <w:tcW w:w="1115"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tc>
      </w:tr>
      <w:tr>
        <w:trPr>
          <w:trHeight w:val="336" w:hRule="atLeast"/>
        </w:trPr>
        <w:tc>
          <w:tcPr>
            <w:tcW w:w="5316"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 xml:space="preserve">Перший заступник міського голови </w:t>
            </w:r>
          </w:p>
        </w:tc>
        <w:tc>
          <w:tcPr>
            <w:tcW w:w="1659" w:type="dxa"/>
            <w:tcBorders>
              <w:top w:val="single" w:sz="4" w:space="0" w:color="000000"/>
              <w:bottom w:val="single" w:sz="4" w:space="0" w:color="000000"/>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tc>
        <w:tc>
          <w:tcPr>
            <w:tcW w:w="1917"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О.Л. Босюк</w:t>
            </w:r>
          </w:p>
        </w:tc>
        <w:tc>
          <w:tcPr>
            <w:tcW w:w="1115"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tc>
      </w:tr>
      <w:tr>
        <w:trPr>
          <w:trHeight w:val="336" w:hRule="atLeast"/>
        </w:trPr>
        <w:tc>
          <w:tcPr>
            <w:tcW w:w="5316"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Начальник Фінансового управління</w:t>
            </w:r>
          </w:p>
        </w:tc>
        <w:tc>
          <w:tcPr>
            <w:tcW w:w="1659" w:type="dxa"/>
            <w:tcBorders>
              <w:top w:val="single" w:sz="4" w:space="0" w:color="000000"/>
              <w:bottom w:val="single" w:sz="4" w:space="0" w:color="000000"/>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tc>
        <w:tc>
          <w:tcPr>
            <w:tcW w:w="1917"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К.С. Журавель</w:t>
            </w:r>
          </w:p>
        </w:tc>
        <w:tc>
          <w:tcPr>
            <w:tcW w:w="1115"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tc>
      </w:tr>
      <w:tr>
        <w:trPr/>
        <w:tc>
          <w:tcPr>
            <w:tcW w:w="5316"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Начальник юридичного відділу</w:t>
            </w:r>
          </w:p>
        </w:tc>
        <w:tc>
          <w:tcPr>
            <w:tcW w:w="1659" w:type="dxa"/>
            <w:tcBorders>
              <w:top w:val="single" w:sz="4" w:space="0" w:color="000000"/>
              <w:bottom w:val="single" w:sz="4" w:space="0" w:color="000000"/>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tc>
        <w:tc>
          <w:tcPr>
            <w:tcW w:w="1917"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 xml:space="preserve">О.О. Прибилов </w:t>
            </w:r>
          </w:p>
        </w:tc>
        <w:tc>
          <w:tcPr>
            <w:tcW w:w="1115" w:type="dxa"/>
            <w:tcBorders/>
          </w:tcPr>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01.05.2024</w:t>
            </w:r>
          </w:p>
        </w:tc>
      </w:tr>
    </w:tbl>
    <w:p>
      <w:pPr>
        <w:pStyle w:val="Normal"/>
        <w:spacing w:before="0" w:after="0"/>
        <w:rPr>
          <w:rFonts w:ascii="Times New Roman" w:hAnsi="Times New Roman"/>
          <w:sz w:val="20"/>
          <w:szCs w:val="20"/>
          <w:lang w:val="uk-UA"/>
        </w:rPr>
      </w:pPr>
      <w:r>
        <w:rPr>
          <w:rFonts w:ascii="Times New Roman" w:hAnsi="Times New Roman"/>
          <w:sz w:val="20"/>
          <w:szCs w:val="20"/>
          <w:lang w:val="uk-UA"/>
        </w:rPr>
      </w:r>
    </w:p>
    <w:p>
      <w:pPr>
        <w:pStyle w:val="Normal"/>
        <w:spacing w:before="0" w:after="0"/>
        <w:rPr>
          <w:rFonts w:ascii="Times New Roman" w:hAnsi="Times New Roman"/>
          <w:sz w:val="20"/>
          <w:szCs w:val="20"/>
          <w:lang w:val="uk-UA"/>
        </w:rPr>
      </w:pPr>
      <w:r>
        <w:rPr>
          <w:rFonts w:ascii="Times New Roman" w:hAnsi="Times New Roman"/>
          <w:sz w:val="20"/>
          <w:szCs w:val="20"/>
          <w:lang w:val="uk-UA"/>
        </w:rPr>
        <w:t>Підготовлено:</w:t>
      </w:r>
    </w:p>
    <w:p>
      <w:pPr>
        <w:pStyle w:val="Normal"/>
        <w:spacing w:before="0" w:after="0"/>
        <w:rPr>
          <w:rFonts w:ascii="Times New Roman" w:hAnsi="Times New Roman"/>
          <w:sz w:val="20"/>
          <w:szCs w:val="20"/>
          <w:lang w:val="uk-UA"/>
        </w:rPr>
      </w:pPr>
      <w:r>
        <w:rPr>
          <w:rFonts w:ascii="Times New Roman" w:hAnsi="Times New Roman"/>
          <w:sz w:val="20"/>
          <w:szCs w:val="20"/>
          <w:lang w:val="uk-UA"/>
        </w:rPr>
        <w:t>Начальник юридичного відділу Прибилов О.О.</w:t>
      </w:r>
    </w:p>
    <w:p>
      <w:pPr>
        <w:pStyle w:val="Normal"/>
        <w:spacing w:before="0" w:after="0"/>
        <w:jc w:val="both"/>
        <w:rPr>
          <w:rFonts w:ascii="Times New Roman" w:hAnsi="Times New Roman"/>
          <w:b/>
          <w:i/>
          <w:i/>
          <w:sz w:val="20"/>
          <w:szCs w:val="20"/>
          <w:lang w:val="uk-UA"/>
        </w:rPr>
      </w:pPr>
      <w:r>
        <w:rPr>
          <w:rFonts w:ascii="Times New Roman" w:hAnsi="Times New Roman"/>
          <w:b/>
          <w:i/>
          <w:sz w:val="20"/>
          <w:szCs w:val="20"/>
          <w:lang w:val="uk-UA"/>
        </w:rPr>
      </w:r>
    </w:p>
    <w:p>
      <w:pPr>
        <w:pStyle w:val="Normal"/>
        <w:spacing w:before="0" w:after="0"/>
        <w:jc w:val="both"/>
        <w:rPr>
          <w:rFonts w:ascii="Times New Roman" w:hAnsi="Times New Roman"/>
          <w:b/>
          <w:i/>
          <w:i/>
          <w:sz w:val="20"/>
          <w:szCs w:val="20"/>
          <w:lang w:val="uk-UA"/>
        </w:rPr>
      </w:pPr>
      <w:r>
        <w:rPr>
          <w:rFonts w:ascii="Times New Roman" w:hAnsi="Times New Roman"/>
          <w:b/>
          <w:i/>
          <w:sz w:val="20"/>
          <w:szCs w:val="20"/>
          <w:lang w:val="uk-UA"/>
        </w:rPr>
      </w:r>
    </w:p>
    <w:p>
      <w:pPr>
        <w:pStyle w:val="Normal"/>
        <w:spacing w:before="0" w:after="0"/>
        <w:jc w:val="both"/>
        <w:rPr>
          <w:rFonts w:ascii="Times New Roman" w:hAnsi="Times New Roman"/>
          <w:b/>
          <w:i/>
          <w:i/>
          <w:sz w:val="20"/>
          <w:szCs w:val="20"/>
          <w:lang w:val="uk-UA"/>
        </w:rPr>
      </w:pPr>
      <w:r>
        <w:rPr>
          <w:rFonts w:ascii="Times New Roman" w:hAnsi="Times New Roman"/>
          <w:b/>
          <w:i/>
          <w:sz w:val="20"/>
          <w:szCs w:val="20"/>
          <w:lang w:val="uk-UA"/>
        </w:rPr>
      </w:r>
    </w:p>
    <w:p>
      <w:pPr>
        <w:pStyle w:val="Normal"/>
        <w:spacing w:before="0" w:after="0"/>
        <w:jc w:val="both"/>
        <w:rPr>
          <w:rFonts w:ascii="Times New Roman" w:hAnsi="Times New Roman"/>
          <w:b/>
          <w:i/>
          <w:i/>
          <w:sz w:val="20"/>
          <w:szCs w:val="20"/>
          <w:lang w:val="uk-UA"/>
        </w:rPr>
      </w:pPr>
      <w:r>
        <w:rPr>
          <w:rFonts w:ascii="Times New Roman" w:hAnsi="Times New Roman"/>
          <w:b/>
          <w:i/>
          <w:sz w:val="20"/>
          <w:szCs w:val="20"/>
          <w:lang w:val="uk-UA"/>
        </w:rPr>
      </w:r>
    </w:p>
    <w:p>
      <w:pPr>
        <w:pStyle w:val="Normal"/>
        <w:spacing w:before="0" w:after="0"/>
        <w:jc w:val="both"/>
        <w:rPr>
          <w:rFonts w:ascii="Times New Roman" w:hAnsi="Times New Roman"/>
          <w:b/>
          <w:i/>
          <w:i/>
          <w:sz w:val="20"/>
          <w:szCs w:val="20"/>
          <w:lang w:val="uk-UA"/>
        </w:rPr>
      </w:pPr>
      <w:r>
        <w:rPr>
          <w:rFonts w:ascii="Times New Roman" w:hAnsi="Times New Roman"/>
          <w:b/>
          <w:i/>
          <w:sz w:val="20"/>
          <w:szCs w:val="20"/>
          <w:lang w:val="uk-UA"/>
        </w:rPr>
      </w:r>
    </w:p>
    <w:p>
      <w:pPr>
        <w:pStyle w:val="Normal"/>
        <w:spacing w:before="0" w:after="0"/>
        <w:jc w:val="both"/>
        <w:rPr>
          <w:rFonts w:ascii="Times New Roman" w:hAnsi="Times New Roman"/>
          <w:b/>
          <w:i/>
          <w:i/>
          <w:sz w:val="24"/>
          <w:szCs w:val="24"/>
          <w:lang w:val="uk-UA"/>
        </w:rPr>
      </w:pPr>
      <w:r>
        <w:rPr>
          <w:rFonts w:ascii="Times New Roman" w:hAnsi="Times New Roman"/>
          <w:b/>
          <w:i/>
          <w:sz w:val="24"/>
          <w:szCs w:val="24"/>
          <w:lang w:val="uk-UA"/>
        </w:rPr>
      </w:r>
    </w:p>
    <w:p>
      <w:pPr>
        <w:pStyle w:val="Normal"/>
        <w:spacing w:before="0" w:after="0"/>
        <w:jc w:val="both"/>
        <w:rPr>
          <w:rFonts w:ascii="Times New Roman" w:hAnsi="Times New Roman"/>
          <w:b/>
          <w:i/>
          <w:i/>
          <w:sz w:val="24"/>
          <w:szCs w:val="24"/>
          <w:lang w:val="uk-UA"/>
        </w:rPr>
      </w:pPr>
      <w:r>
        <w:rPr>
          <w:rFonts w:ascii="Times New Roman" w:hAnsi="Times New Roman"/>
          <w:b/>
          <w:i/>
          <w:sz w:val="24"/>
          <w:szCs w:val="24"/>
          <w:lang w:val="uk-UA"/>
        </w:rPr>
      </w:r>
    </w:p>
    <w:p>
      <w:pPr>
        <w:pStyle w:val="Normal"/>
        <w:spacing w:before="0" w:after="0"/>
        <w:jc w:val="both"/>
        <w:rPr>
          <w:rFonts w:ascii="Times New Roman" w:hAnsi="Times New Roman"/>
          <w:b/>
          <w:i/>
          <w:i/>
          <w:sz w:val="24"/>
          <w:szCs w:val="24"/>
          <w:lang w:val="uk-UA"/>
        </w:rPr>
      </w:pPr>
      <w:r>
        <w:rPr>
          <w:rFonts w:ascii="Times New Roman" w:hAnsi="Times New Roman"/>
          <w:b/>
          <w:i/>
          <w:sz w:val="24"/>
          <w:szCs w:val="24"/>
          <w:lang w:val="uk-UA"/>
        </w:rPr>
      </w:r>
    </w:p>
    <w:p>
      <w:pPr>
        <w:pStyle w:val="Normal"/>
        <w:spacing w:before="0" w:after="0"/>
        <w:jc w:val="both"/>
        <w:rPr>
          <w:rFonts w:ascii="Times New Roman" w:hAnsi="Times New Roman"/>
          <w:b/>
          <w:i/>
          <w:i/>
          <w:sz w:val="24"/>
          <w:szCs w:val="24"/>
          <w:lang w:val="uk-UA"/>
        </w:rPr>
      </w:pPr>
      <w:r>
        <w:rPr>
          <w:rFonts w:ascii="Times New Roman" w:hAnsi="Times New Roman"/>
          <w:b/>
          <w:i/>
          <w:sz w:val="24"/>
          <w:szCs w:val="24"/>
          <w:lang w:val="uk-UA"/>
        </w:rPr>
      </w:r>
    </w:p>
    <w:p>
      <w:pPr>
        <w:pStyle w:val="Normal"/>
        <w:spacing w:before="0" w:after="0"/>
        <w:jc w:val="both"/>
        <w:rPr>
          <w:rFonts w:ascii="Times New Roman" w:hAnsi="Times New Roman"/>
          <w:b/>
          <w:i/>
          <w:i/>
          <w:sz w:val="24"/>
          <w:szCs w:val="24"/>
          <w:lang w:val="uk-UA"/>
        </w:rPr>
      </w:pPr>
      <w:r>
        <w:rPr>
          <w:rFonts w:ascii="Times New Roman" w:hAnsi="Times New Roman"/>
          <w:b/>
          <w:i/>
          <w:sz w:val="24"/>
          <w:szCs w:val="24"/>
          <w:lang w:val="uk-UA"/>
        </w:rPr>
      </w:r>
    </w:p>
    <w:p>
      <w:pPr>
        <w:pStyle w:val="Normal"/>
        <w:spacing w:before="0" w:after="0"/>
        <w:jc w:val="both"/>
        <w:rPr>
          <w:rFonts w:ascii="Times New Roman" w:hAnsi="Times New Roman"/>
          <w:b/>
          <w:i/>
          <w:i/>
          <w:sz w:val="24"/>
          <w:szCs w:val="24"/>
          <w:lang w:val="uk-UA"/>
        </w:rPr>
      </w:pPr>
      <w:r>
        <w:rPr>
          <w:rFonts w:ascii="Times New Roman" w:hAnsi="Times New Roman"/>
          <w:b/>
          <w:i/>
          <w:sz w:val="24"/>
          <w:szCs w:val="24"/>
          <w:lang w:val="uk-UA"/>
        </w:rPr>
      </w:r>
    </w:p>
    <w:p>
      <w:pPr>
        <w:pStyle w:val="Normal"/>
        <w:spacing w:before="0" w:after="0"/>
        <w:jc w:val="both"/>
        <w:rPr>
          <w:rFonts w:ascii="Times New Roman" w:hAnsi="Times New Roman"/>
          <w:b/>
          <w:lang w:val="uk-UA"/>
        </w:rPr>
      </w:pPr>
      <w:r>
        <w:rPr>
          <w:rFonts w:ascii="Times New Roman" w:hAnsi="Times New Roman"/>
          <w:b/>
          <w:lang w:val="uk-UA"/>
        </w:rPr>
      </w:r>
    </w:p>
    <w:tbl>
      <w:tblPr>
        <w:tblpPr w:vertAnchor="text" w:horzAnchor="margin" w:tblpXSpec="right" w:leftFromText="180" w:rightFromText="180" w:tblpY="-202"/>
        <w:tblW w:w="4786" w:type="dxa"/>
        <w:jc w:val="right"/>
        <w:tblInd w:w="0" w:type="dxa"/>
        <w:tblLayout w:type="fixed"/>
        <w:tblCellMar>
          <w:top w:w="0" w:type="dxa"/>
          <w:left w:w="108" w:type="dxa"/>
          <w:bottom w:w="0" w:type="dxa"/>
          <w:right w:w="108" w:type="dxa"/>
        </w:tblCellMar>
        <w:tblLook w:firstRow="1" w:noVBand="0" w:lastRow="1" w:firstColumn="1" w:lastColumn="1" w:noHBand="0" w:val="01e0"/>
      </w:tblPr>
      <w:tblGrid>
        <w:gridCol w:w="4786"/>
      </w:tblGrid>
      <w:tr>
        <w:trPr/>
        <w:tc>
          <w:tcPr>
            <w:tcW w:w="4786" w:type="dxa"/>
            <w:tcBorders/>
          </w:tcPr>
          <w:p>
            <w:pPr>
              <w:pStyle w:val="Style15"/>
              <w:spacing w:before="0" w:after="0"/>
              <w:jc w:val="both"/>
              <w:rPr>
                <w:rFonts w:ascii="Times New Roman" w:hAnsi="Times New Roman"/>
                <w:i/>
                <w:i/>
                <w:sz w:val="20"/>
              </w:rPr>
            </w:pPr>
            <w:r>
              <w:rPr>
                <w:rFonts w:ascii="Times New Roman" w:hAnsi="Times New Roman"/>
                <w:i/>
                <w:sz w:val="20"/>
              </w:rPr>
              <w:t xml:space="preserve">Додаток 1 </w:t>
            </w:r>
          </w:p>
          <w:p>
            <w:pPr>
              <w:pStyle w:val="Style15"/>
              <w:spacing w:before="0" w:after="0"/>
              <w:jc w:val="both"/>
              <w:rPr>
                <w:rFonts w:ascii="Times New Roman" w:hAnsi="Times New Roman"/>
                <w:b w:val="false"/>
                <w:sz w:val="20"/>
              </w:rPr>
            </w:pPr>
            <w:r>
              <w:rPr>
                <w:rFonts w:ascii="Times New Roman" w:hAnsi="Times New Roman"/>
                <w:b w:val="false"/>
                <w:sz w:val="20"/>
              </w:rPr>
              <w:t xml:space="preserve">до рішення «Про встановлення на території Роздільнянської міської територіальної громади ставок та пільг із сплати податку на нерухоме майно, </w:t>
            </w:r>
          </w:p>
          <w:p>
            <w:pPr>
              <w:pStyle w:val="Style15"/>
              <w:spacing w:before="0" w:after="0"/>
              <w:jc w:val="left"/>
              <w:rPr>
                <w:rFonts w:ascii="Times New Roman" w:hAnsi="Times New Roman"/>
                <w:b w:val="false"/>
                <w:sz w:val="20"/>
              </w:rPr>
            </w:pPr>
            <w:r>
              <w:rPr>
                <w:rFonts w:ascii="Times New Roman" w:hAnsi="Times New Roman"/>
                <w:b w:val="false"/>
                <w:sz w:val="20"/>
              </w:rPr>
              <w:t>відмінне від земельної ділянки, на 2025 рік»</w:t>
            </w:r>
          </w:p>
          <w:p>
            <w:pPr>
              <w:pStyle w:val="Normal"/>
              <w:spacing w:before="0" w:after="0"/>
              <w:rPr>
                <w:rFonts w:ascii="Times New Roman" w:hAnsi="Times New Roman"/>
                <w:b/>
                <w:sz w:val="20"/>
                <w:szCs w:val="20"/>
                <w:lang w:val="uk-UA"/>
              </w:rPr>
            </w:pPr>
            <w:r>
              <w:rPr>
                <w:rFonts w:ascii="Times New Roman" w:hAnsi="Times New Roman"/>
                <w:b/>
                <w:sz w:val="20"/>
                <w:szCs w:val="20"/>
                <w:lang w:val="uk-UA"/>
              </w:rPr>
            </w:r>
          </w:p>
          <w:p>
            <w:pPr>
              <w:pStyle w:val="Normal"/>
              <w:spacing w:before="0" w:after="0"/>
              <w:rPr>
                <w:rFonts w:ascii="Times New Roman" w:hAnsi="Times New Roman"/>
                <w:b/>
                <w:sz w:val="20"/>
                <w:szCs w:val="20"/>
                <w:lang w:val="uk-UA"/>
              </w:rPr>
            </w:pPr>
            <w:r>
              <w:rPr>
                <w:rFonts w:ascii="Times New Roman" w:hAnsi="Times New Roman"/>
                <w:b/>
                <w:sz w:val="20"/>
                <w:szCs w:val="20"/>
                <w:lang w:val="uk-UA"/>
              </w:rPr>
              <w:t>ЗАТВЕРДЖЕНО:</w:t>
            </w:r>
          </w:p>
          <w:p>
            <w:pPr>
              <w:pStyle w:val="Normal"/>
              <w:spacing w:before="0" w:after="0"/>
              <w:rPr>
                <w:rFonts w:ascii="Times New Roman" w:hAnsi="Times New Roman"/>
                <w:sz w:val="20"/>
                <w:szCs w:val="20"/>
                <w:lang w:val="uk-UA"/>
              </w:rPr>
            </w:pPr>
            <w:r>
              <w:rPr>
                <w:rFonts w:ascii="Times New Roman" w:hAnsi="Times New Roman"/>
                <w:sz w:val="20"/>
                <w:szCs w:val="20"/>
                <w:lang w:val="uk-UA"/>
              </w:rPr>
              <w:t xml:space="preserve">рішення Роздільнянської міської ради </w:t>
            </w:r>
          </w:p>
          <w:p>
            <w:pPr>
              <w:pStyle w:val="Normal"/>
              <w:spacing w:before="0" w:after="0"/>
              <w:rPr>
                <w:rFonts w:ascii="Times New Roman" w:hAnsi="Times New Roman"/>
                <w:sz w:val="20"/>
                <w:szCs w:val="20"/>
                <w:lang w:val="uk-UA"/>
              </w:rPr>
            </w:pPr>
            <w:r>
              <w:rPr>
                <w:rFonts w:ascii="Times New Roman" w:hAnsi="Times New Roman"/>
                <w:sz w:val="20"/>
                <w:szCs w:val="20"/>
                <w:lang w:val="uk-UA"/>
              </w:rPr>
              <w:t>Одеської області</w:t>
            </w:r>
          </w:p>
          <w:p>
            <w:pPr>
              <w:pStyle w:val="Normal"/>
              <w:spacing w:before="0" w:after="0"/>
              <w:rPr>
                <w:rFonts w:ascii="Times New Roman" w:hAnsi="Times New Roman"/>
                <w:lang w:val="uk-UA"/>
              </w:rPr>
            </w:pPr>
            <w:r>
              <w:rPr>
                <w:rFonts w:ascii="Times New Roman" w:hAnsi="Times New Roman"/>
                <w:sz w:val="20"/>
                <w:szCs w:val="20"/>
                <w:lang w:val="uk-UA"/>
              </w:rPr>
              <w:t>«___» ________  2024 року № ___-VІII</w:t>
            </w:r>
          </w:p>
        </w:tc>
      </w:tr>
    </w:tbl>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Style15"/>
        <w:spacing w:before="0" w:after="0"/>
        <w:rPr>
          <w:rFonts w:ascii="Times New Roman" w:hAnsi="Times New Roman"/>
          <w:sz w:val="24"/>
          <w:szCs w:val="24"/>
        </w:rPr>
      </w:pPr>
      <w:r>
        <w:rPr>
          <w:rFonts w:ascii="Times New Roman" w:hAnsi="Times New Roman"/>
          <w:sz w:val="24"/>
          <w:szCs w:val="24"/>
        </w:rPr>
        <w:t>СТАВКИ</w:t>
      </w:r>
      <w:r>
        <w:rPr>
          <w:rFonts w:ascii="Times New Roman" w:hAnsi="Times New Roman"/>
          <w:sz w:val="24"/>
          <w:szCs w:val="24"/>
          <w:vertAlign w:val="superscript"/>
        </w:rPr>
        <w:br/>
      </w:r>
      <w:r>
        <w:rPr>
          <w:rFonts w:ascii="Times New Roman" w:hAnsi="Times New Roman"/>
          <w:sz w:val="24"/>
          <w:szCs w:val="24"/>
        </w:rPr>
        <w:t>податку на нерухоме майно, відмінне від земельної ділянки</w:t>
      </w:r>
    </w:p>
    <w:p>
      <w:pPr>
        <w:pStyle w:val="Normal"/>
        <w:spacing w:lineRule="auto" w:line="240" w:before="0" w:after="0"/>
        <w:jc w:val="center"/>
        <w:rPr>
          <w:rFonts w:ascii="Times New Roman" w:hAnsi="Times New Roman"/>
          <w:b/>
          <w:sz w:val="24"/>
          <w:szCs w:val="24"/>
          <w:lang w:val="uk-UA"/>
        </w:rPr>
      </w:pPr>
      <w:r>
        <w:rPr>
          <w:rFonts w:ascii="Times New Roman" w:hAnsi="Times New Roman"/>
          <w:b/>
          <w:sz w:val="24"/>
          <w:szCs w:val="24"/>
          <w:lang w:val="uk-UA"/>
        </w:rPr>
        <w:t>на території Роздільнянської міської територіальної громади</w:t>
      </w:r>
    </w:p>
    <w:p>
      <w:pPr>
        <w:pStyle w:val="Normal"/>
        <w:spacing w:lineRule="auto" w:line="240" w:before="0" w:after="0"/>
        <w:jc w:val="center"/>
        <w:rPr>
          <w:rFonts w:ascii="Times New Roman" w:hAnsi="Times New Roman"/>
          <w:b/>
          <w:sz w:val="24"/>
          <w:szCs w:val="24"/>
          <w:lang w:val="uk-UA"/>
        </w:rPr>
      </w:pPr>
      <w:r>
        <w:rPr>
          <w:rFonts w:ascii="Times New Roman" w:hAnsi="Times New Roman"/>
          <w:b/>
          <w:sz w:val="24"/>
          <w:szCs w:val="24"/>
          <w:lang w:val="uk-UA"/>
        </w:rPr>
      </w:r>
    </w:p>
    <w:p>
      <w:pPr>
        <w:pStyle w:val="Style16"/>
        <w:spacing w:before="0" w:after="0"/>
        <w:jc w:val="both"/>
        <w:rPr>
          <w:rFonts w:ascii="Times New Roman" w:hAnsi="Times New Roman"/>
          <w:sz w:val="24"/>
          <w:szCs w:val="24"/>
        </w:rPr>
      </w:pPr>
      <w:r>
        <w:rPr>
          <w:rFonts w:ascii="Times New Roman" w:hAnsi="Times New Roman"/>
          <w:sz w:val="24"/>
          <w:szCs w:val="24"/>
        </w:rPr>
        <w:t>Ставки встановлюються на 2025 рік та вводяться в дію з 01 січня 2025 року.</w:t>
      </w:r>
    </w:p>
    <w:p>
      <w:pPr>
        <w:pStyle w:val="Style16"/>
        <w:spacing w:before="120" w:after="120"/>
        <w:jc w:val="both"/>
        <w:rPr>
          <w:rFonts w:ascii="Times New Roman" w:hAnsi="Times New Roman"/>
          <w:sz w:val="24"/>
          <w:szCs w:val="24"/>
        </w:rPr>
      </w:pPr>
      <w:r>
        <w:rPr>
          <w:rFonts w:ascii="Times New Roman" w:hAnsi="Times New Roman"/>
          <w:sz w:val="24"/>
          <w:szCs w:val="24"/>
        </w:rPr>
        <w:t>Адміністративно-територіальні одиниці або населені пункти, або території  територіальних громад, на які поширюється дія рішення ради за даними Кодифікатора адміністративно-територіальних одиниць та територій територіальних громад:</w:t>
      </w:r>
    </w:p>
    <w:tbl>
      <w:tblPr>
        <w:tblW w:w="9753" w:type="dxa"/>
        <w:jc w:val="left"/>
        <w:tblInd w:w="113" w:type="dxa"/>
        <w:tblLayout w:type="fixed"/>
        <w:tblCellMar>
          <w:top w:w="0" w:type="dxa"/>
          <w:left w:w="108" w:type="dxa"/>
          <w:bottom w:w="0" w:type="dxa"/>
          <w:right w:w="108" w:type="dxa"/>
        </w:tblCellMar>
        <w:tblLook w:firstRow="1" w:noVBand="0" w:lastRow="1" w:firstColumn="1" w:lastColumn="1" w:noHBand="0" w:val="01e0"/>
      </w:tblPr>
      <w:tblGrid>
        <w:gridCol w:w="2206"/>
        <w:gridCol w:w="2205"/>
        <w:gridCol w:w="2205"/>
        <w:gridCol w:w="1484"/>
        <w:gridCol w:w="1653"/>
      </w:tblGrid>
      <w:tr>
        <w:trPr/>
        <w:tc>
          <w:tcPr>
            <w:tcW w:w="2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 xml:space="preserve">Перший рівень </w:t>
            </w:r>
          </w:p>
        </w:tc>
        <w:tc>
          <w:tcPr>
            <w:tcW w:w="2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Другий рівень</w:t>
            </w:r>
          </w:p>
        </w:tc>
        <w:tc>
          <w:tcPr>
            <w:tcW w:w="2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Третій рівень</w:t>
            </w:r>
          </w:p>
        </w:tc>
        <w:tc>
          <w:tcPr>
            <w:tcW w:w="14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Категорія об’єкта</w:t>
            </w:r>
          </w:p>
        </w:tc>
        <w:tc>
          <w:tcPr>
            <w:tcW w:w="165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 xml:space="preserve">Назва об’єкта </w:t>
            </w:r>
          </w:p>
        </w:tc>
      </w:tr>
      <w:tr>
        <w:trPr/>
        <w:tc>
          <w:tcPr>
            <w:tcW w:w="2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bCs/>
                <w:sz w:val="20"/>
                <w:szCs w:val="20"/>
                <w:lang w:val="uk-UA"/>
              </w:rPr>
              <w:t>UA51000000000030770</w:t>
            </w:r>
          </w:p>
        </w:tc>
        <w:tc>
          <w:tcPr>
            <w:tcW w:w="2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2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14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область</w:t>
            </w:r>
          </w:p>
        </w:tc>
        <w:tc>
          <w:tcPr>
            <w:tcW w:w="165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 xml:space="preserve">Одеська </w:t>
            </w:r>
          </w:p>
        </w:tc>
      </w:tr>
      <w:tr>
        <w:trPr/>
        <w:tc>
          <w:tcPr>
            <w:tcW w:w="2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2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bCs/>
                <w:sz w:val="20"/>
                <w:szCs w:val="20"/>
                <w:lang w:val="uk-UA"/>
              </w:rPr>
              <w:t>UA51140000000094970</w:t>
            </w:r>
          </w:p>
        </w:tc>
        <w:tc>
          <w:tcPr>
            <w:tcW w:w="2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14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район</w:t>
            </w:r>
          </w:p>
        </w:tc>
        <w:tc>
          <w:tcPr>
            <w:tcW w:w="165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Роздільнянський</w:t>
            </w:r>
          </w:p>
        </w:tc>
      </w:tr>
      <w:tr>
        <w:trPr/>
        <w:tc>
          <w:tcPr>
            <w:tcW w:w="220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2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220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bCs/>
                <w:sz w:val="20"/>
                <w:szCs w:val="20"/>
                <w:lang w:val="uk-UA"/>
              </w:rPr>
              <w:t>UA51140130000082333</w:t>
            </w:r>
          </w:p>
        </w:tc>
        <w:tc>
          <w:tcPr>
            <w:tcW w:w="148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назва територіальної громади</w:t>
            </w:r>
          </w:p>
        </w:tc>
        <w:tc>
          <w:tcPr>
            <w:tcW w:w="165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bCs/>
                <w:sz w:val="20"/>
                <w:szCs w:val="20"/>
                <w:lang w:val="uk-UA"/>
              </w:rPr>
              <w:t>Роздільнянська</w:t>
            </w:r>
          </w:p>
        </w:tc>
      </w:tr>
    </w:tbl>
    <w:p>
      <w:pPr>
        <w:pStyle w:val="Normal"/>
        <w:spacing w:lineRule="auto" w:line="240" w:before="0" w:after="0"/>
        <w:rPr>
          <w:rFonts w:ascii="Times New Roman" w:hAnsi="Times New Roman"/>
          <w:lang w:val="uk-UA"/>
        </w:rPr>
      </w:pPr>
      <w:r>
        <w:rPr>
          <w:rFonts w:ascii="Times New Roman" w:hAnsi="Times New Roman"/>
          <w:lang w:val="uk-UA"/>
        </w:rPr>
      </w:r>
    </w:p>
    <w:tbl>
      <w:tblPr>
        <w:tblW w:w="8472" w:type="dxa"/>
        <w:jc w:val="left"/>
        <w:tblInd w:w="209" w:type="dxa"/>
        <w:tblLayout w:type="fixed"/>
        <w:tblCellMar>
          <w:top w:w="0" w:type="dxa"/>
          <w:left w:w="108" w:type="dxa"/>
          <w:bottom w:w="0" w:type="dxa"/>
          <w:right w:w="108" w:type="dxa"/>
        </w:tblCellMar>
        <w:tblLook w:firstRow="0" w:noVBand="0" w:lastRow="0" w:firstColumn="0" w:lastColumn="0" w:noHBand="0" w:val="0000"/>
      </w:tblPr>
      <w:tblGrid>
        <w:gridCol w:w="3071"/>
        <w:gridCol w:w="2429"/>
        <w:gridCol w:w="2972"/>
      </w:tblGrid>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Четвертий рівень</w:t>
            </w:r>
          </w:p>
        </w:tc>
        <w:tc>
          <w:tcPr>
            <w:tcW w:w="24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Категорія об’єкта</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Назва об’єкта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UA51140130010040641</w:t>
            </w:r>
          </w:p>
        </w:tc>
        <w:tc>
          <w:tcPr>
            <w:tcW w:w="24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місто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Роздільна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UA51140130020070549</w:t>
            </w:r>
          </w:p>
        </w:tc>
        <w:tc>
          <w:tcPr>
            <w:tcW w:w="24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Андрієво-Іванове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UA51140130030061433</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Антонівка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UA51140130040025753</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Бакалове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UA51140130050069569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Балкове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UA51140130060018007</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Бецилове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UA51140130070086845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Благодатне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UA51140130080012385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Богнатове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UA51140130090065030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Бринівка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UA51140130100070779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Будячки</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UA51140130110082321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Бурдівка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UA51140130120094988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Буцинівка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UA51140130130086031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Вакулівка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UA51140130140043686</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Велізарове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UA51140130150016125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Веселе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UA51140130160082998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Виноградар</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UA51140130170055400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Володимирівка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UA51140130180031519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Єреміївка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UA51140130190033330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Желепове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UA51140130200071050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Калантаївка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UA51140130210012062</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Кам’янка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UA51140130220035348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Капаклієве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UA51140130230029900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Карпівка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UA51140130240086752</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Карпове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UA51140130250068550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Кошари</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UA51140130260081634</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Кузьменка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UA51140130270099035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Лозове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UA51140130280015730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Матишівка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UA51140130290091754</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Миколаївка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UA51140130300094570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Міліардівка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UA51140130310012174</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Надія</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UA51140130320046389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Новий Гребеник</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UA51140130330070013</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Нові Чобручі</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UA51140130340098719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Новоградениця</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UA51140130350067109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Новодмитрівка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UA51140130360073189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Новодмитрівка Друга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UA51140130370042421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Новоселівка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UA51140130380046719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Новоукраїнка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UA51140130390087501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Олександрівка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UA51140130400039785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Парканці</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UA51140130410090130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Перше Травня</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UA51140130420041666</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Петро-Євдокіївка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UA51140130430018701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Покровка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UA51140130440056462</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Понятівка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UA51140130450053115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Поташенкове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UA51140130460020706</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Слобідка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UA51140130470013441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Старокостянтинівка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UA51140130480040108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Старостине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UA51140130490065448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Сухе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UA51140130500011286</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Шевченкове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UA51140130510077217</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Шеметове</w:t>
            </w:r>
          </w:p>
        </w:tc>
      </w:tr>
    </w:tbl>
    <w:p>
      <w:pPr>
        <w:pStyle w:val="Normal"/>
        <w:spacing w:lineRule="auto" w:line="240" w:before="0" w:after="0"/>
        <w:rPr>
          <w:rFonts w:ascii="Times New Roman" w:hAnsi="Times New Roman"/>
          <w:lang w:val="uk-UA"/>
        </w:rPr>
      </w:pPr>
      <w:r>
        <w:rPr>
          <w:rFonts w:ascii="Times New Roman" w:hAnsi="Times New Roman"/>
          <w:lang w:val="uk-UA"/>
        </w:rPr>
      </w:r>
    </w:p>
    <w:p>
      <w:pPr>
        <w:pStyle w:val="Normal"/>
        <w:rPr/>
      </w:pPr>
      <w:r>
        <w:rPr/>
      </w:r>
    </w:p>
    <w:tbl>
      <w:tblPr>
        <w:tblW w:w="5000" w:type="pct"/>
        <w:jc w:val="left"/>
        <w:tblInd w:w="33" w:type="dxa"/>
        <w:tblLayout w:type="fixed"/>
        <w:tblCellMar>
          <w:top w:w="0" w:type="dxa"/>
          <w:left w:w="28" w:type="dxa"/>
          <w:bottom w:w="0" w:type="dxa"/>
          <w:right w:w="28" w:type="dxa"/>
        </w:tblCellMar>
        <w:tblLook w:firstRow="1" w:noVBand="0" w:lastRow="1" w:firstColumn="1" w:lastColumn="1" w:noHBand="0" w:val="01e0"/>
      </w:tblPr>
      <w:tblGrid>
        <w:gridCol w:w="730"/>
        <w:gridCol w:w="5003"/>
        <w:gridCol w:w="667"/>
        <w:gridCol w:w="655"/>
        <w:gridCol w:w="682"/>
        <w:gridCol w:w="700"/>
        <w:gridCol w:w="612"/>
        <w:gridCol w:w="638"/>
      </w:tblGrid>
      <w:tr>
        <w:trPr>
          <w:tblHeader w:val="true"/>
          <w:trHeight w:val="20" w:hRule="atLeast"/>
        </w:trPr>
        <w:tc>
          <w:tcPr>
            <w:tcW w:w="5733" w:type="dxa"/>
            <w:gridSpan w:val="2"/>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Класифікація будівель та споруд (назва класифікаційної одиниці)</w:t>
            </w:r>
          </w:p>
        </w:tc>
        <w:tc>
          <w:tcPr>
            <w:tcW w:w="3954" w:type="dxa"/>
            <w:gridSpan w:val="6"/>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Ставки податку</w:t>
            </w:r>
            <w:r>
              <w:rPr>
                <w:rFonts w:ascii="Times New Roman" w:hAnsi="Times New Roman"/>
                <w:sz w:val="24"/>
                <w:szCs w:val="24"/>
                <w:vertAlign w:val="superscript"/>
              </w:rPr>
              <w:t>2</w:t>
            </w:r>
            <w:r>
              <w:rPr>
                <w:rFonts w:ascii="Times New Roman" w:hAnsi="Times New Roman"/>
                <w:sz w:val="24"/>
                <w:szCs w:val="24"/>
              </w:rPr>
              <w:t xml:space="preserve"> за 1 кв. метр</w:t>
              <w:br/>
              <w:t>(відсотків розміру мінімальної заробітної плати)</w:t>
            </w:r>
          </w:p>
        </w:tc>
      </w:tr>
      <w:tr>
        <w:trPr>
          <w:tblHeader w:val="true"/>
          <w:trHeight w:val="20" w:hRule="atLeast"/>
        </w:trPr>
        <w:tc>
          <w:tcPr>
            <w:tcW w:w="730" w:type="dxa"/>
            <w:vMerge w:val="restart"/>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код</w:t>
            </w:r>
            <w:r>
              <w:rPr>
                <w:rFonts w:ascii="Times New Roman" w:hAnsi="Times New Roman"/>
                <w:sz w:val="24"/>
                <w:szCs w:val="24"/>
                <w:vertAlign w:val="superscript"/>
              </w:rPr>
              <w:t>1</w:t>
            </w:r>
          </w:p>
        </w:tc>
        <w:tc>
          <w:tcPr>
            <w:tcW w:w="5003" w:type="dxa"/>
            <w:vMerge w:val="restart"/>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найменування</w:t>
            </w:r>
            <w:r>
              <w:rPr>
                <w:rFonts w:ascii="Times New Roman" w:hAnsi="Times New Roman"/>
                <w:sz w:val="24"/>
                <w:szCs w:val="24"/>
                <w:vertAlign w:val="superscript"/>
              </w:rPr>
              <w:t>1</w:t>
            </w:r>
          </w:p>
        </w:tc>
        <w:tc>
          <w:tcPr>
            <w:tcW w:w="2004" w:type="dxa"/>
            <w:gridSpan w:val="3"/>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для юридичних осіб</w:t>
            </w:r>
          </w:p>
        </w:tc>
        <w:tc>
          <w:tcPr>
            <w:tcW w:w="1950" w:type="dxa"/>
            <w:gridSpan w:val="3"/>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для фізичних осіб</w:t>
            </w:r>
          </w:p>
        </w:tc>
      </w:tr>
      <w:tr>
        <w:trPr>
          <w:tblHeader w:val="true"/>
          <w:trHeight w:val="20" w:hRule="atLeast"/>
        </w:trPr>
        <w:tc>
          <w:tcPr>
            <w:tcW w:w="730" w:type="dxa"/>
            <w:vMerge w:val="continue"/>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rPr>
                <w:rFonts w:ascii="Times New Roman" w:hAnsi="Times New Roman"/>
                <w:sz w:val="24"/>
                <w:szCs w:val="24"/>
              </w:rPr>
            </w:pPr>
            <w:r>
              <w:rPr>
                <w:rFonts w:ascii="Times New Roman" w:hAnsi="Times New Roman"/>
                <w:sz w:val="24"/>
                <w:szCs w:val="24"/>
              </w:rPr>
            </w:r>
          </w:p>
        </w:tc>
        <w:tc>
          <w:tcPr>
            <w:tcW w:w="5003" w:type="dxa"/>
            <w:vMerge w:val="continue"/>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rPr>
                <w:rFonts w:ascii="Times New Roman" w:hAnsi="Times New Roman"/>
                <w:sz w:val="24"/>
                <w:szCs w:val="24"/>
              </w:rPr>
            </w:pPr>
            <w:r>
              <w:rPr>
                <w:rFonts w:ascii="Times New Roman" w:hAnsi="Times New Roman"/>
                <w:sz w:val="24"/>
                <w:szCs w:val="24"/>
              </w:rPr>
            </w:r>
          </w:p>
        </w:tc>
        <w:tc>
          <w:tcPr>
            <w:tcW w:w="667"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1 зона</w:t>
            </w:r>
            <w:r>
              <w:rPr>
                <w:rFonts w:ascii="Times New Roman" w:hAnsi="Times New Roman"/>
                <w:sz w:val="24"/>
                <w:szCs w:val="24"/>
                <w:vertAlign w:val="superscript"/>
              </w:rPr>
              <w:t>3</w:t>
            </w:r>
          </w:p>
        </w:tc>
        <w:tc>
          <w:tcPr>
            <w:tcW w:w="655"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2 зона</w:t>
            </w:r>
            <w:r>
              <w:rPr>
                <w:rFonts w:ascii="Times New Roman" w:hAnsi="Times New Roman"/>
                <w:sz w:val="24"/>
                <w:szCs w:val="24"/>
                <w:vertAlign w:val="superscript"/>
              </w:rPr>
              <w:t>4</w:t>
            </w:r>
          </w:p>
        </w:tc>
        <w:tc>
          <w:tcPr>
            <w:tcW w:w="682"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3 зона</w:t>
            </w:r>
            <w:r>
              <w:rPr>
                <w:rFonts w:ascii="Times New Roman" w:hAnsi="Times New Roman"/>
                <w:sz w:val="24"/>
                <w:szCs w:val="24"/>
                <w:vertAlign w:val="superscript"/>
              </w:rPr>
              <w:t>5</w:t>
            </w:r>
          </w:p>
        </w:tc>
        <w:tc>
          <w:tcPr>
            <w:tcW w:w="700"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1 зона</w:t>
            </w:r>
            <w:r>
              <w:rPr>
                <w:rFonts w:ascii="Times New Roman" w:hAnsi="Times New Roman"/>
                <w:sz w:val="24"/>
                <w:szCs w:val="24"/>
                <w:vertAlign w:val="superscript"/>
              </w:rPr>
              <w:t>3</w:t>
            </w:r>
          </w:p>
        </w:tc>
        <w:tc>
          <w:tcPr>
            <w:tcW w:w="612"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2 зона</w:t>
            </w:r>
            <w:r>
              <w:rPr>
                <w:rFonts w:ascii="Times New Roman" w:hAnsi="Times New Roman"/>
                <w:sz w:val="24"/>
                <w:szCs w:val="24"/>
                <w:vertAlign w:val="superscript"/>
              </w:rPr>
              <w:t>4</w:t>
            </w:r>
          </w:p>
        </w:tc>
        <w:tc>
          <w:tcPr>
            <w:tcW w:w="638"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hanging="0"/>
              <w:jc w:val="center"/>
              <w:rPr>
                <w:rFonts w:ascii="Times New Roman" w:hAnsi="Times New Roman"/>
                <w:sz w:val="24"/>
                <w:szCs w:val="24"/>
              </w:rPr>
            </w:pPr>
            <w:r>
              <w:rPr>
                <w:rFonts w:ascii="Times New Roman" w:hAnsi="Times New Roman"/>
                <w:sz w:val="24"/>
                <w:szCs w:val="24"/>
              </w:rPr>
              <w:t>3 зона</w:t>
            </w:r>
            <w:r>
              <w:rPr>
                <w:rFonts w:ascii="Times New Roman" w:hAnsi="Times New Roman"/>
                <w:sz w:val="24"/>
                <w:szCs w:val="24"/>
                <w:vertAlign w:val="superscript"/>
              </w:rPr>
              <w:t>5</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45"/>
              <w:jc w:val="center"/>
              <w:rPr>
                <w:rFonts w:ascii="Times New Roman" w:hAnsi="Times New Roman"/>
                <w:b/>
                <w:sz w:val="24"/>
                <w:szCs w:val="24"/>
              </w:rPr>
            </w:pPr>
            <w:r>
              <w:rPr>
                <w:rFonts w:ascii="Times New Roman" w:hAnsi="Times New Roman"/>
                <w:b/>
                <w:sz w:val="24"/>
                <w:szCs w:val="24"/>
              </w:rPr>
              <w:t>БУДІВЛІ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11</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45"/>
              <w:jc w:val="center"/>
              <w:rPr>
                <w:rFonts w:ascii="Times New Roman" w:hAnsi="Times New Roman"/>
                <w:b/>
                <w:sz w:val="24"/>
                <w:szCs w:val="24"/>
              </w:rPr>
            </w:pPr>
            <w:r>
              <w:rPr>
                <w:rFonts w:ascii="Times New Roman" w:hAnsi="Times New Roman"/>
                <w:b/>
                <w:sz w:val="24"/>
                <w:szCs w:val="24"/>
              </w:rPr>
              <w:t>Житлові будинки</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111</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45"/>
              <w:jc w:val="center"/>
              <w:rPr>
                <w:rFonts w:ascii="Times New Roman" w:hAnsi="Times New Roman"/>
                <w:b/>
                <w:sz w:val="24"/>
                <w:szCs w:val="24"/>
              </w:rPr>
            </w:pPr>
            <w:r>
              <w:rPr>
                <w:rFonts w:ascii="Times New Roman" w:hAnsi="Times New Roman"/>
                <w:b/>
                <w:sz w:val="24"/>
                <w:szCs w:val="24"/>
              </w:rPr>
              <w:t>Одноквартирні житлові будинки</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 xml:space="preserve">1110 </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Одноквартирні житлові будинки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відокремлені житлові будинки садибного типу, дачі, будинки лісників, садові та інші літні будинки для тимчасового проживання, тощо.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зблоковані та терасні будинки з окремими квартирами, кожна з яких має власний дах та власний вхід з вулиці.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нежитлові сільськогосподарські будинки (1271)</w:t>
            </w:r>
            <w:r>
              <w:rPr>
                <w:rFonts w:ascii="Times New Roman" w:hAnsi="Times New Roman"/>
                <w:sz w:val="24"/>
                <w:szCs w:val="24"/>
              </w:rPr>
              <w:t>)</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0,400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0,370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0,360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0,350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112</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Житлові будинки з двома та більше квартирами</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1121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Житлові будинки з двома квартирами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відокремлені, зблоковані та терасні будинки з двома квартирами.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зблоковані або терасні будинки з окремими квартирами, кожна з яких має власний дах та власний вхід з вулиці (1110)</w:t>
            </w:r>
            <w:r>
              <w:rPr>
                <w:rFonts w:ascii="Times New Roman" w:hAnsi="Times New Roman"/>
                <w:sz w:val="24"/>
                <w:szCs w:val="24"/>
              </w:rPr>
              <w:t>)</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0,400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0,370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0,360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0,350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1122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Житлові будинки з трьома та більше квартирами</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 інші житлові будинки з трьома та більше квартирами. </w:t>
            </w:r>
          </w:p>
          <w:p>
            <w:pPr>
              <w:pStyle w:val="Style16"/>
              <w:spacing w:before="100" w:after="0"/>
              <w:ind w:hanging="0"/>
              <w:rPr>
                <w:rFonts w:ascii="Times New Roman" w:hAnsi="Times New Roman"/>
                <w:i/>
                <w:i/>
                <w:sz w:val="24"/>
                <w:szCs w:val="24"/>
              </w:rPr>
            </w:pPr>
            <w:r>
              <w:rPr>
                <w:rFonts w:ascii="Times New Roman" w:hAnsi="Times New Roman"/>
                <w:i/>
                <w:sz w:val="24"/>
                <w:szCs w:val="24"/>
              </w:rPr>
              <w:t>Цей клас не включає: - гуртожитки (1130); - готелі (1211); - туристичні бази, табори та будинки відпочинку (1212))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0,400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0,370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0,360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0,350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113</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Житлові будинки для колективного проживання</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lang w:val="ru-RU"/>
              </w:rPr>
            </w:pPr>
            <w:r>
              <w:rPr>
                <w:rFonts w:ascii="Times New Roman" w:hAnsi="Times New Roman"/>
                <w:sz w:val="24"/>
                <w:szCs w:val="24"/>
                <w:lang w:val="ru-RU"/>
              </w:rPr>
              <w:t>1130</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Житлові будинки для колективного проживання</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 гуртожитки для студентів та учнів навчальних закладів, робітників та службовців, житлові будинки для дітей-сиріт та дітей з інвалідністю, для осіб літнього віку та осіб з інвалідністю, інших соціальних груп, наприклад, будинки для біженців, притулки для бездомних тощо. </w:t>
            </w:r>
          </w:p>
          <w:p>
            <w:pPr>
              <w:pStyle w:val="Style16"/>
              <w:spacing w:before="100" w:after="0"/>
              <w:ind w:hanging="0"/>
              <w:rPr>
                <w:rFonts w:ascii="Times New Roman" w:hAnsi="Times New Roman"/>
                <w:i/>
                <w:i/>
                <w:sz w:val="24"/>
                <w:szCs w:val="24"/>
              </w:rPr>
            </w:pPr>
            <w:r>
              <w:rPr>
                <w:rFonts w:ascii="Times New Roman" w:hAnsi="Times New Roman"/>
                <w:i/>
                <w:sz w:val="24"/>
                <w:szCs w:val="24"/>
              </w:rPr>
              <w:t>Цей клас не включає: - лікарні (1264); - будівлі закладів соціального захисту населення (1264); - в'язниці та казарми (1274))</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0,170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0,160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12</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Нежитлові будівлі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121</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Будівлі готельні та подібні будівлі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1211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Будівлі готельні</w:t>
            </w:r>
          </w:p>
          <w:p>
            <w:pPr>
              <w:pStyle w:val="Style16"/>
              <w:spacing w:before="100" w:after="0"/>
              <w:ind w:hanging="0"/>
              <w:rPr/>
            </w:pPr>
            <w:r>
              <w:rPr>
                <w:rFonts w:ascii="Times New Roman" w:hAnsi="Times New Roman"/>
                <w:sz w:val="24"/>
                <w:szCs w:val="24"/>
              </w:rPr>
              <w:t>(</w:t>
            </w:r>
            <w:r>
              <w:rPr>
                <w:rFonts w:ascii="Times New Roman" w:hAnsi="Times New Roman"/>
                <w:i/>
                <w:sz w:val="24"/>
                <w:szCs w:val="24"/>
              </w:rPr>
              <w:t>Цей клас включає: - будівлі готелів, мотелів, пансіонатів та подібних закладів з надання житла з рестораном або без нього.</w:t>
            </w:r>
            <w:r>
              <w:rPr/>
              <w:t xml:space="preserve">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відокремлені будівлі ресторанів та барів.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ресторани в житлових будинках (1122); - хостели, гірські притулки, табори для відпочинку, рекреаційні будинки (1212); - ресторани в торгових центрах (1230))</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0,400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0,370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0,360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0,350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1212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Інші будівлі для короткострокового проживання</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хостелів, дитячих та сімейних таборів відпочинку, гірські притулки, рекреаційні будинки та інші будівлі для тимчасового проживання, не класифіковані раніше.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будівлі готельні (1211); споруди парків для дозвілля та розваг (2412))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122</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Офісні будівлі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1220</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Офісні будівлі</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що використовуються як приміщення для конторських та адміністративних цілей, у тому числі для промислових підприємств, банків, поштових відділень, органів державної влади та місцевого самоврядування тощо.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конгрес-центри, будівлі органів правосуддя, парламентські будівлі.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офіси в будівлях, які використовуються переважно для інших цілей)</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123</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Будівлі оптово-роздрібної торгівлі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1230</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Будівлі оптово-роздрібної торгівлі</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 будівлі торгових центрів, універмагів, окремих магазинів та крамниць, зали для ярмарків, аукціонів, торгових виставок, криті ринки, закладів обслуговування учасників дорожнього руху тощо. </w:t>
            </w:r>
          </w:p>
          <w:p>
            <w:pPr>
              <w:pStyle w:val="Style16"/>
              <w:spacing w:before="100" w:after="0"/>
              <w:ind w:hanging="0"/>
              <w:rPr>
                <w:rFonts w:ascii="Times New Roman" w:hAnsi="Times New Roman"/>
                <w:i/>
                <w:i/>
                <w:sz w:val="24"/>
                <w:szCs w:val="24"/>
              </w:rPr>
            </w:pPr>
            <w:r>
              <w:rPr>
                <w:rFonts w:ascii="Times New Roman" w:hAnsi="Times New Roman"/>
                <w:i/>
                <w:sz w:val="24"/>
                <w:szCs w:val="24"/>
              </w:rPr>
              <w:t>Цей клас не включає: - магазини в будівлях, які призначені переважно для інших цілей)</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124</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Будівлі транспорту та зв’язку</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1241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Будівлі електронних комунікацій, станцій, терміналів та пов’язані з ними будівлі</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Цей клас включає: - будівлі цивільних та військових аеропортів, залізничних</w:t>
            </w:r>
            <w:r>
              <w:rPr/>
              <w:t xml:space="preserve"> </w:t>
            </w:r>
            <w:r>
              <w:rPr>
                <w:rFonts w:ascii="Times New Roman" w:hAnsi="Times New Roman"/>
                <w:i/>
                <w:sz w:val="24"/>
                <w:szCs w:val="24"/>
              </w:rPr>
              <w:t>станцій,</w:t>
            </w:r>
            <w:r>
              <w:rPr/>
              <w:t xml:space="preserve"> </w:t>
            </w:r>
            <w:r>
              <w:rPr>
                <w:rFonts w:ascii="Times New Roman" w:hAnsi="Times New Roman"/>
                <w:i/>
                <w:sz w:val="24"/>
                <w:szCs w:val="24"/>
              </w:rPr>
              <w:t xml:space="preserve">автобусних станцій, морських та річкових вокзалів, фунікулерів та станцій канатних доріг; - будівлі центрів радіо- та телевізійного мовлення, телефонних станцій, телекомунікаційних центрів тощо.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ангари для літаків, будівлі сигнальних будок, локомотивних та вагонних депо; - телефонні будки; - будівлі маяків; - будівлі (вежі) управління повітряним рухом.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заклади обслуговування учасників дорожнього руху (1230); - резервуари, силоси та складські приміщення (1252); - залізничні колії (2121, 2122); - злітно-посадкові смуги аеродромів (2130); - лінії та вежі електронних комунікаційних мереж (2213, 2224); - нафтотермінали (2303))</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1242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 xml:space="preserve">Будівлі гаражів </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Цей клас включає: - гаражі (наземні й підземні) та криті автомобільні стоянки.</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 </w:t>
            </w:r>
            <w:r>
              <w:rPr>
                <w:rFonts w:ascii="Times New Roman" w:hAnsi="Times New Roman"/>
                <w:i/>
                <w:sz w:val="24"/>
                <w:szCs w:val="24"/>
              </w:rPr>
              <w:t xml:space="preserve">Цей клас включає також: - навіси для велосипедів.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автостоянки в будівлях, які використовуються переважно для інших цілей; - заклади обслуговування учасників дорожнього руху (1230))</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125</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Промислові та складські будівлі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1251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Промислові будівлі</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що використовуються для промислового виробництва, наприклад, фабрики, майстерні, бойні, пивоварні тощо.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резервуари, силоси та складські приміщення (1252); - будівлі сільськогосподарського призначення (1271); - комплексні промислові споруди (електростанції, нафтопереробні заводи тощо), які не мають характеристик будівель (230))</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1252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Резервуари, силоси та склади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резервуари та ємності; - резервуари для нафти та газу; - силоси для зерна, цементу та інших сухих продуктів; - холодильники та спеціальні склади.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складські майданчики.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сільськогосподарські силоси та складські будівлі, що використовуються для сільського господарства (1271); - водонапірні башти (2222); - нафтотермінали (2303))</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126</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Будівлі громадського дозвілля, освіти, охорони здоров’я та соціального захисту</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1261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Будівлі громадського дозвілля</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кінотеатрів, театрів, концертні зали тощо; - зали засідань та багатоцільові зали, що використовуються, головним чином, для публічних виступів; - казино, цирки, музичні зали, танцювальні зали та дискотеки, естради тощо.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музеї, художні галереї (1262); - спортивні зали (1265); - парки для відпочинку та розваг (2412))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1262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Будівлі музеїв та бібліотек</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музеїв, художніх галерей, бібліотек та ресурсних центрів.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будівлі архівів.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пам'ятники історичні (1273))</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1263</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Будівлі закладів освіти та дослідних закладів</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призначені для дошкільної, середньої, професійно-технічної та спеціалізованої освіти; - будівлі закладів вищої освіти, науково-дослідних закладів, лабораторій.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будівлі спеціальних шкіл для дітей з фізичними або розумовими вадами; - будівлі закладів для фахової перепідготовки; - будівлі метеорологічних станцій, обсерваторій.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гуртожитки, які є окремим будівлями шкіл-інтернатів (1130); - гуртожитки для студентів (1130); - бібліотеки (1262); - лікарні навчальних закладів (1264)</w:t>
            </w:r>
            <w:r>
              <w:rPr/>
              <w:t>)</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1264</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Будівлі закладів охорони здоров’я та соціального захисту населення</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Цей клас включає: - будівлі закладів з надання медичної допомоги хворим та травмованим пацієнтам; - санаторії, лікарні тривалого перебування і будинки з медичним доглядом для людей похилого віку та осіб з інвалідністю, психіатричні лікарні, диспансери, пологові будинки, реабілітаційні центри матері та дитини.</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 </w:t>
            </w:r>
            <w:r>
              <w:rPr>
                <w:rFonts w:ascii="Times New Roman" w:hAnsi="Times New Roman"/>
                <w:i/>
                <w:sz w:val="24"/>
                <w:szCs w:val="24"/>
              </w:rPr>
              <w:t xml:space="preserve">Цей клас включає також: - будівлі лікарень навчальних закладів, виправних закладів, в'язниць та збройних сил; -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ветеринарних лікарень тощо; - будинки закладів, що надають комбіновані послуги проживання та догляду або медичного обслуговування для людей похилого віку, для людей з обмеженими можливостями тощо.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соціальні будинки-інтернати для людей похилого віку та осіб з інвалідністю (1130))</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1265</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Спортивні зали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що використовуються в спортивних цілях (баскетбольні і тенісні зали, плавальні басейни, гімнастичні зали, ковзанки або хокейні арени тощо), що передбачають обладнання для глядачів та учасників.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багатоцільові зали, що використовуються, головним чином, для публічних виступів (1261); - спортивні майданчики для занять спортом на відкритому повітрі, наприклад, тенісні корти, відкриті плавальні басейни тощо (2411))</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127</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Інші нежитлові будівлі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1271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Нежитлові сільськогосподарські будівлі</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призначені для сільськогосподарської діяльності, наприклад, корівники, стайні, свинарники, кошари, конюшні, розплідники, промислові курники, зерносховища, ангари та фермерські господарські будівлі, погреби, виноробні заводи, винні чани, теплиці, сільськогосподарські силоси тощо.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споруди зоологічних парків та ботанічних садів (2412))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1272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Меморіальні та культові будівлі</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церкви, каплиці, мечеті, синагоги тощо;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цвинтарі та похоронні споруди, ритуальні зали, крематорії;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переведені в світські культові будівлі, що використовуються як музеї (1262); - пам’ятки історичні (1273))</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1273</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Пам’ятники історичні та ті, що охороняються</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історичні та такі, що охороняються державою і не використовуються для інших цілей.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старовинні руїни, що охороняються державою, археологічні розкопки; - статуї та меморіальні, художні і декоративні споруди.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будівлі музеїв (1262); - релігійні будівлі (1272))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1274</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Інші будівлі, не класифіковані раніше</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будівлі виправних закладів, в’язниць, слідчих ізоляторів, військових казарм, міліцейських та пожежних служб.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такі споруди, як зупинки громадського транспорту, громадські туалети, пральні, лазні тощо;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телефонні будки (1241); - госпіталі виправних закладів, в’язниць, збройних сил (1264); - військові інженерні споруди (2420))</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ІНЖЕНЕРНІ СПОРУДИ</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21</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Транспортна інфраструктура</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211</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Автомобільні дороги загального користування, вулиці та інші дороги</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2111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Автомобільні дороги загального користування державного значення</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автомобільні дороги загального користування державного значення, включаючи перехрестя та транспортні розв'язки в різних рівнях.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пристрої для освітлення, сигналізації, забезпечення безпеки та автостоянок.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споруди закладів обслуговування учасників дорожнього руху (1230); - мости та естакади (2141); - тунелі та метро (2142))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2112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Вулиці та інші дороги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вулиці в населених пунктах, автомобільні дороги місцевого значення, інші дороги за межами населених пунктів та будь-які проїзди (включаючи відкриті автостоянки, транспортні розв'язки, перехрестя, об'їзні та під’їзні дороги), польові дороги, доріжки для верхової та велосипедної їзди, майдани, тротуари та пішохідні площі.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включає також: - пристрої для освітлення, сигналізації, забезпечення безпеки та автостоянок</w:t>
            </w:r>
            <w:r>
              <w:rPr/>
              <w:t>)</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212</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Залізниці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2121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Залізниці магістральні</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залізничні колії магістральні, під’їзні путі, стрілки, залізничні переїзди, станційні та сортувальні колії.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пристрої для освітлення, сигналізації, забезпечення безпеки та електрифікації.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залізничні вокзали (1241); - залізничні мости (2141); - залізничні тунелі (2142))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2122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Місцеві залізниці</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Цей клас включає: - залізничні колії метрополітенів (підземні, наземні, надземні); залізниці підвісні та на естакадах, відокремлені міські мережі залізничних колій громадського транспорту, трамвайні колії.</w:t>
            </w:r>
          </w:p>
          <w:p>
            <w:pPr>
              <w:pStyle w:val="Style16"/>
              <w:spacing w:before="100" w:after="0"/>
              <w:ind w:hanging="0"/>
              <w:rPr>
                <w:rFonts w:ascii="Times New Roman" w:hAnsi="Times New Roman"/>
                <w:sz w:val="24"/>
                <w:szCs w:val="24"/>
              </w:rPr>
            </w:pPr>
            <w:r>
              <w:rPr>
                <w:rFonts w:ascii="Times New Roman" w:hAnsi="Times New Roman"/>
                <w:i/>
                <w:sz w:val="24"/>
                <w:szCs w:val="24"/>
              </w:rPr>
              <w:t xml:space="preserve"> </w:t>
            </w:r>
            <w:r>
              <w:rPr>
                <w:rFonts w:ascii="Times New Roman" w:hAnsi="Times New Roman"/>
                <w:i/>
                <w:sz w:val="24"/>
                <w:szCs w:val="24"/>
              </w:rPr>
              <w:t>Цей клас включає також: - пристрої для освітлення, сигналізації, забезпечення безпеки та електрифікації)</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213</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Злітно-посадкові смуги</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2130</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Злітно-посадкові смуги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злітно-посадкові смуги для злету, посадки, маневрування та стоянки літальних апаратів.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включає також: - пристрої для освітлення, сигналізації та забезпечення безпеки)</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214</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Мости, естакади, тунелі та метро</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2141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Мости та естакади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автодорожні та залізничні мости з металу, залізобетону або інших матеріалів, включаючи конструкції естакад.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включає також: - пристрої для освітлення, сигналізації та забезпечення безпеки; - пересувні мости, віадуки, мости польових та лісових доріг, пішохідні мости)</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2142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Тунелі та метро</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тунелі автомобільних доріг, залізниць та метрополітенів.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включає також: - пристрої для освітлення, сигналізації та забезпечення безпеки)</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215</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Портові споруди, канали, дамби та інші водні споруди</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2151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Портові споруди та судноплавні канали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Цей клас включає: - споруди морських та річкових портів (причали, доки, пристані, моли тощо); - судноплавні канали; - споруди на річках та каналах (шлюзи, мости-канали, тунелі-канали, пристані, набережні та</w:t>
            </w:r>
            <w:r>
              <w:rPr/>
              <w:t xml:space="preserve"> </w:t>
            </w:r>
            <w:r>
              <w:rPr>
                <w:rFonts w:ascii="Times New Roman" w:hAnsi="Times New Roman"/>
                <w:i/>
                <w:sz w:val="24"/>
                <w:szCs w:val="24"/>
              </w:rPr>
              <w:t xml:space="preserve">буксирні шляхи).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споруди військових портів; - судноремонтні та суднобудівні споруди.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будівлі маяків (1241); - дамби та подібні водоутримуючі споруди (2152); - нафтотермінали (2303); - споруди марини (гавані для маломірних і спортивних суден) (2412))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2152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Дамби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дамби, греблі та подібні водоутримуючі споруди будь-якого призначення: гідроенергетика, зрошення, регулювання стоку, захист від паводків.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загати, споруди берегоукріплення.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шлюзи (2151); - гідроелектростанції (2302))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2153</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Акведуки, зрошувальні та осушувальні споруди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зрошувальні канали та інші споруди водопостачання для потреб землеробства; - акведуки.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дренажні та зливові споруди.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акведуки, що є історичними пам'ятками (1273); - дамби (2152); - водопроводи (2212, 2222))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22</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Трубопроводи, лінії електронних комунікаційних мереж та електропередачі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221</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Магістральні трубопроводи, лінії електронних комунікаційних мереж та електропередачі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2211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Магістральні нафтопроводи та газопроводи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магістральні наземні, підземні або підводні трубопроводи для транспортування нафтопродуктів та природного газу.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насосні станції.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водопроводи (2212, 2222); - місцеві газопроводи (2221); - нафтотермінали (2303))</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lang w:val="ru-RU"/>
              </w:rPr>
            </w:pPr>
            <w:r>
              <w:rPr>
                <w:rFonts w:ascii="Times New Roman" w:hAnsi="Times New Roman"/>
                <w:sz w:val="24"/>
                <w:szCs w:val="24"/>
                <w:lang w:val="ru-RU"/>
              </w:rPr>
              <w:t>2212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Магістральні водопроводи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Цей клас включає: - магістральні наземні, підземні або підводні трубопроводи для транспортування води.</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насосні, фільтраційні станції та станції водозабору.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зрошувальні канали та акведуки (2153); - місцеві водопроводи (2222))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2213</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Магістральні лінії електронних комунікаційних мереж</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магістральні наземні, підземні або підводні лінії електронних комунікаційних мереж, релейні системи, радіо, телевізійні та кабельні мережі, телекомунікаційні вежі та радіокомунікаційні споруди.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магістральні лінії електропередачі (2214); - лінії місцевих електронних комунікаційних мереж (2224))</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2214</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Магістральні лінії електропередач</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магістральні повітряні та підземні лінії електропередачі високої або середньої напруги.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трансформаторні станції та підстанції, опори ліній електропередачі.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системи освітлення доріг (2111, 2112); - місцеві електричні розподільні лінії та допоміжні пристрої (2224))</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222</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Місцеві трубопроводи, лінії електронних комунікаційних мереж та електропередачі</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2221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Місцеві трубопроводи газопостачання</w:t>
            </w:r>
          </w:p>
          <w:p>
            <w:pPr>
              <w:pStyle w:val="Style16"/>
              <w:spacing w:before="100" w:after="0"/>
              <w:ind w:hanging="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Цей клас включає: - місцеві наземні та підземні трубопроводи для розподілу газу)</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2222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Місцеві трубопроводи водопостачання</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місцеві трубопроводи для транспортування води, пари або стисненого повітря.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водонапірні башти, колодязі, фонтани та гідранти.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зрошувальні споруди (2153); - водоочисні споруди (2223))</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2223</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Місцеві каналізаційні трубопроводи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каналізаційні мережі та каналізаційні колектори.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включає також: - каналізаційні очисні споруди)</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2224</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Місцеві лінії електронних комунікаційних мереж та електропередачі</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місцеві лінії електропередачі та електронних комунікаційних мереж (повітряні або підземні) та допоміжні споруди (трансформаторні станції і підстанції, телеграфні стовпи тощо).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включає також: - місцеві телевізійні кабельні мережі та пов’язані антени загального користування)</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23</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Комплексні споруди промислових об’єктів</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230</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Комплексні споруди промислових об’єктів</w:t>
            </w:r>
          </w:p>
          <w:p>
            <w:pPr>
              <w:pStyle w:val="Style16"/>
              <w:spacing w:before="100" w:after="0"/>
              <w:ind w:hanging="0"/>
              <w:jc w:val="center"/>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Цей розділ включає складні промислові конструкції (електростанції, нафтопереробні заводи тощо), які не мають характеристик будівлі</w:t>
            </w:r>
            <w:r>
              <w:rPr>
                <w:rFonts w:ascii="Times New Roman" w:hAnsi="Times New Roman"/>
              </w:rPr>
              <w:t>)</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2301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Споруди гірничодобувні</w:t>
            </w:r>
          </w:p>
          <w:p>
            <w:pPr>
              <w:pStyle w:val="Style16"/>
              <w:spacing w:before="100" w:after="0"/>
              <w:ind w:hanging="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Цей клас включає: - установки та споруди шахт, кар’єрів, гірничодобувних свердловин, тощо (наприклад, завантажувальні та розвантажувальні станції, копри шахт тощо). - гіпсові, цементні, цегельні, черепичні заводи тощо)</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2302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Споруди електростанцій</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Цей клас включає: - споруди електростанцій та устаткування для виробництва електроенергії, у тому числі теплові, атомні електростанції, гідроелектростанції, вітрові</w:t>
            </w:r>
            <w:r>
              <w:rPr/>
              <w:t xml:space="preserve"> </w:t>
            </w:r>
            <w:r>
              <w:rPr>
                <w:rFonts w:ascii="Times New Roman" w:hAnsi="Times New Roman"/>
                <w:i/>
                <w:sz w:val="24"/>
                <w:szCs w:val="24"/>
              </w:rPr>
              <w:t xml:space="preserve">електростанції та інші. </w:t>
            </w:r>
          </w:p>
          <w:p>
            <w:pPr>
              <w:pStyle w:val="Style16"/>
              <w:spacing w:before="100" w:after="0"/>
              <w:ind w:hanging="0"/>
              <w:rPr>
                <w:rFonts w:ascii="Times New Roman" w:hAnsi="Times New Roman"/>
                <w:i/>
                <w:i/>
                <w:sz w:val="24"/>
                <w:szCs w:val="24"/>
              </w:rPr>
            </w:pPr>
            <w:r>
              <w:rPr>
                <w:rFonts w:ascii="Times New Roman" w:hAnsi="Times New Roman"/>
                <w:i/>
                <w:sz w:val="24"/>
                <w:szCs w:val="24"/>
              </w:rPr>
              <w:t>Цей клас включає</w:t>
            </w:r>
            <w:r>
              <w:rPr/>
              <w:t xml:space="preserve"> </w:t>
            </w:r>
            <w:r>
              <w:rPr>
                <w:rFonts w:ascii="Times New Roman" w:hAnsi="Times New Roman"/>
                <w:i/>
                <w:sz w:val="24"/>
                <w:szCs w:val="24"/>
              </w:rPr>
              <w:t xml:space="preserve">також: - підприємства зі збагачення та переробки ядерних матеріалів; - сміттєспалювальні установки.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греблі, дамби (2152); - лінії електропередачі, включаючи трансформаторні станції та підстанції (2214))</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2303</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Споруди підприємств хімічної промисловості</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споруди, що складають хімічні, нафтохімічні або нафтопереробні підприємства.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включає також: - термінали для нафтопродуктів; - коксохімічні та газові заводи)</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2304</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Споруди важкої промисловості, не класифіковані раніше</w:t>
            </w:r>
          </w:p>
          <w:p>
            <w:pPr>
              <w:pStyle w:val="Style16"/>
              <w:spacing w:before="100" w:after="0"/>
              <w:ind w:hanging="0"/>
              <w:rPr>
                <w:rFonts w:ascii="Times New Roman" w:hAnsi="Times New Roman"/>
                <w:sz w:val="24"/>
                <w:szCs w:val="24"/>
              </w:rPr>
            </w:pPr>
            <w:r>
              <w:rPr/>
              <w:t>(</w:t>
            </w:r>
            <w:r>
              <w:rPr>
                <w:rFonts w:ascii="Times New Roman" w:hAnsi="Times New Roman"/>
                <w:i/>
                <w:sz w:val="24"/>
                <w:szCs w:val="24"/>
              </w:rPr>
              <w:t>Цей клас включає: - споруди, що складають підприємства важкої промисловості, такі як доменні печі, прокатні стани, ливарні цехи тощо)</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24</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Інші інженерні споруди</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241</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Спортивні та рекреаційні споруди</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2411</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Спортнивні майданчики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спортивні майданчики та поля, обладнані для занять спортом на відкритому повітрі, таких як футбол, бейсбол, регбі, водний спорт, легка атлетика, автомобільні, велосипедні або кінні перегони.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зали спортивні (1265); - ігрові майданчики, парки відпочинку та розваг (2412); - майданчики для гри в гольф (2412); - споруди причалів марин (2412))</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2412</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Інші споруди та рекреаційні споруди</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Цей клас включає: - парки відпочинку і розваг та інші споруди під відкритим небом, включаючи гірські споруди (лижні траси, витяги тощо), майданчики для гри в гольф, льотні поля, кінні центри, споруди марин (гаваней для маломірних</w:t>
            </w:r>
            <w:r>
              <w:rPr/>
              <w:t xml:space="preserve"> </w:t>
            </w:r>
            <w:r>
              <w:rPr>
                <w:rFonts w:ascii="Times New Roman" w:hAnsi="Times New Roman"/>
                <w:i/>
                <w:sz w:val="24"/>
                <w:szCs w:val="24"/>
              </w:rPr>
              <w:t xml:space="preserve">та спортивних суден), споруди, що використовуються переважно для мореплавного спорту та облаштування пляжів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споруди громадських садів і парків, зоологічних парків та ботанічних садів.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гірські притулки (1212); - станції канатних доріг (1241); - будівлі громадського дозвілля (1261); - будівлі зоологічних парків та ботанічних садів (1261); - спортивні зали (1265))</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b/>
                <w:sz w:val="24"/>
                <w:szCs w:val="24"/>
              </w:rPr>
            </w:pPr>
            <w:r>
              <w:rPr>
                <w:rFonts w:ascii="Times New Roman" w:hAnsi="Times New Roman"/>
                <w:b/>
                <w:sz w:val="24"/>
                <w:szCs w:val="24"/>
              </w:rPr>
              <w:t>242</w:t>
            </w:r>
          </w:p>
        </w:tc>
        <w:tc>
          <w:tcPr>
            <w:tcW w:w="8957" w:type="dxa"/>
            <w:gridSpan w:val="7"/>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jc w:val="center"/>
              <w:rPr>
                <w:rFonts w:ascii="Times New Roman" w:hAnsi="Times New Roman"/>
                <w:b/>
                <w:sz w:val="24"/>
                <w:szCs w:val="24"/>
              </w:rPr>
            </w:pPr>
            <w:r>
              <w:rPr>
                <w:rFonts w:ascii="Times New Roman" w:hAnsi="Times New Roman"/>
                <w:b/>
                <w:sz w:val="24"/>
                <w:szCs w:val="24"/>
              </w:rPr>
              <w:t>Інші інженерні споруди, не класифіковані раніше</w:t>
            </w:r>
          </w:p>
        </w:tc>
      </w:tr>
      <w:tr>
        <w:trPr>
          <w:trHeight w:val="20" w:hRule="atLeast"/>
        </w:trPr>
        <w:tc>
          <w:tcPr>
            <w:tcW w:w="73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rPr>
                <w:rFonts w:ascii="Times New Roman" w:hAnsi="Times New Roman"/>
                <w:sz w:val="24"/>
                <w:szCs w:val="24"/>
              </w:rPr>
            </w:pPr>
            <w:r>
              <w:rPr>
                <w:rFonts w:ascii="Times New Roman" w:hAnsi="Times New Roman"/>
                <w:sz w:val="24"/>
                <w:szCs w:val="24"/>
              </w:rPr>
              <w:t>2420</w:t>
            </w:r>
          </w:p>
        </w:tc>
        <w:tc>
          <w:tcPr>
            <w:tcW w:w="5003" w:type="dxa"/>
            <w:tcBorders>
              <w:top w:val="single" w:sz="4" w:space="0" w:color="000000"/>
              <w:left w:val="single" w:sz="4" w:space="0" w:color="000000"/>
              <w:bottom w:val="single" w:sz="4" w:space="0" w:color="000000"/>
              <w:right w:val="single" w:sz="4" w:space="0" w:color="000000"/>
            </w:tcBorders>
            <w:vAlign w:val="center"/>
          </w:tcPr>
          <w:p>
            <w:pPr>
              <w:pStyle w:val="Style16"/>
              <w:spacing w:before="100" w:after="0"/>
              <w:ind w:hanging="0"/>
              <w:rPr>
                <w:rFonts w:ascii="Times New Roman" w:hAnsi="Times New Roman"/>
                <w:sz w:val="24"/>
                <w:szCs w:val="24"/>
              </w:rPr>
            </w:pPr>
            <w:r>
              <w:rPr>
                <w:rFonts w:ascii="Times New Roman" w:hAnsi="Times New Roman"/>
                <w:sz w:val="24"/>
                <w:szCs w:val="24"/>
              </w:rPr>
              <w:t>Інші інженерні споруди, не класифіковані раніше</w:t>
            </w:r>
          </w:p>
          <w:p>
            <w:pPr>
              <w:pStyle w:val="Style16"/>
              <w:spacing w:before="100" w:after="0"/>
              <w:ind w:hanging="0"/>
              <w:rPr>
                <w:rFonts w:ascii="Times New Roman" w:hAnsi="Times New Roman"/>
                <w:i/>
                <w:i/>
                <w:sz w:val="24"/>
                <w:szCs w:val="24"/>
              </w:rPr>
            </w:pPr>
            <w:r>
              <w:rPr>
                <w:rFonts w:ascii="Times New Roman" w:hAnsi="Times New Roman"/>
                <w:sz w:val="24"/>
                <w:szCs w:val="24"/>
              </w:rPr>
              <w:t>(</w:t>
            </w:r>
            <w:r>
              <w:rPr>
                <w:rFonts w:ascii="Times New Roman" w:hAnsi="Times New Roman"/>
                <w:i/>
                <w:sz w:val="24"/>
                <w:szCs w:val="24"/>
              </w:rPr>
              <w:t xml:space="preserve">Цей клас включає: - військові інженерні споруди, наприклад, форти, блокпости, бункери, стрільбища, військові випробувальні центри тощо; - інженерні споруди, не класифіковані раніше, включаючи дільниці для запуску супутників. </w:t>
            </w:r>
          </w:p>
          <w:p>
            <w:pPr>
              <w:pStyle w:val="Style16"/>
              <w:spacing w:before="100" w:after="0"/>
              <w:ind w:hanging="0"/>
              <w:rPr>
                <w:rFonts w:ascii="Times New Roman" w:hAnsi="Times New Roman"/>
                <w:i/>
                <w:i/>
                <w:sz w:val="24"/>
                <w:szCs w:val="24"/>
              </w:rPr>
            </w:pPr>
            <w:r>
              <w:rPr>
                <w:rFonts w:ascii="Times New Roman" w:hAnsi="Times New Roman"/>
                <w:i/>
                <w:sz w:val="24"/>
                <w:szCs w:val="24"/>
              </w:rPr>
              <w:t xml:space="preserve">Цей клас включає також: - занедбані промислові або міські споруди; - сміттєзвалища. </w:t>
            </w:r>
          </w:p>
          <w:p>
            <w:pPr>
              <w:pStyle w:val="Style16"/>
              <w:spacing w:before="100" w:after="0"/>
              <w:ind w:hanging="0"/>
              <w:rPr>
                <w:rFonts w:ascii="Times New Roman" w:hAnsi="Times New Roman"/>
                <w:sz w:val="24"/>
                <w:szCs w:val="24"/>
              </w:rPr>
            </w:pPr>
            <w:r>
              <w:rPr>
                <w:rFonts w:ascii="Times New Roman" w:hAnsi="Times New Roman"/>
                <w:i/>
                <w:sz w:val="24"/>
                <w:szCs w:val="24"/>
              </w:rPr>
              <w:t>Цей клас не включає: - будівлі аеропортів (1241); - казарми (1274); - військові порти (2151))</w:t>
            </w:r>
          </w:p>
        </w:tc>
        <w:tc>
          <w:tcPr>
            <w:tcW w:w="667"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0,200</w:t>
            </w:r>
          </w:p>
        </w:tc>
        <w:tc>
          <w:tcPr>
            <w:tcW w:w="655"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0,190</w:t>
            </w:r>
          </w:p>
        </w:tc>
        <w:tc>
          <w:tcPr>
            <w:tcW w:w="68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0,180</w:t>
            </w:r>
          </w:p>
        </w:tc>
        <w:tc>
          <w:tcPr>
            <w:tcW w:w="700"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0,150</w:t>
            </w:r>
          </w:p>
        </w:tc>
        <w:tc>
          <w:tcPr>
            <w:tcW w:w="612"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0,140</w:t>
            </w:r>
          </w:p>
        </w:tc>
        <w:tc>
          <w:tcPr>
            <w:tcW w:w="638" w:type="dxa"/>
            <w:tcBorders>
              <w:top w:val="single" w:sz="4" w:space="0" w:color="000000"/>
              <w:left w:val="single" w:sz="4" w:space="0" w:color="000000"/>
              <w:bottom w:val="single" w:sz="4" w:space="0" w:color="000000"/>
              <w:right w:val="single" w:sz="4" w:space="0" w:color="000000"/>
            </w:tcBorders>
          </w:tcPr>
          <w:p>
            <w:pPr>
              <w:pStyle w:val="Style16"/>
              <w:spacing w:before="100" w:after="0"/>
              <w:ind w:hanging="0"/>
              <w:jc w:val="center"/>
              <w:rPr>
                <w:rFonts w:ascii="Times New Roman" w:hAnsi="Times New Roman"/>
                <w:sz w:val="24"/>
                <w:szCs w:val="24"/>
              </w:rPr>
            </w:pPr>
            <w:r>
              <w:rPr>
                <w:rFonts w:ascii="Times New Roman" w:hAnsi="Times New Roman"/>
                <w:sz w:val="24"/>
                <w:szCs w:val="24"/>
              </w:rPr>
              <w:t>0,130</w:t>
            </w:r>
            <w:bookmarkStart w:id="0" w:name="_GoBack"/>
            <w:bookmarkEnd w:id="0"/>
          </w:p>
        </w:tc>
      </w:tr>
    </w:tbl>
    <w:p>
      <w:pPr>
        <w:pStyle w:val="Normal"/>
        <w:rPr>
          <w:lang w:val="uk-UA"/>
        </w:rPr>
      </w:pPr>
      <w:r>
        <w:rPr>
          <w:lang w:val="uk-UA"/>
        </w:rPr>
      </w:r>
    </w:p>
    <w:p>
      <w:pPr>
        <w:pStyle w:val="Style16"/>
        <w:spacing w:before="0" w:after="0"/>
        <w:jc w:val="both"/>
        <w:rPr>
          <w:rFonts w:ascii="Times New Roman" w:hAnsi="Times New Roman"/>
          <w:sz w:val="20"/>
        </w:rPr>
      </w:pPr>
      <w:r>
        <w:rPr>
          <w:rFonts w:ascii="Times New Roman" w:hAnsi="Times New Roman"/>
          <w:sz w:val="20"/>
          <w:vertAlign w:val="superscript"/>
        </w:rPr>
        <w:t>1</w:t>
      </w:r>
      <w:r>
        <w:rPr>
          <w:rFonts w:ascii="Times New Roman" w:hAnsi="Times New Roman"/>
          <w:sz w:val="20"/>
        </w:rPr>
        <w:t xml:space="preserve"> Класифікація будівель та споруд, код та найменування зазначаються відповідно до Національного класифікатора НК 018:2023 «Класифікатор будівель і споруд», затвердженого наказом Міністерства економіки України від 16 травня 2023 року № 3573.</w:t>
      </w:r>
    </w:p>
    <w:p>
      <w:pPr>
        <w:pStyle w:val="Style16"/>
        <w:spacing w:before="60" w:after="0"/>
        <w:jc w:val="both"/>
        <w:rPr>
          <w:rFonts w:ascii="Times New Roman" w:hAnsi="Times New Roman"/>
          <w:sz w:val="20"/>
        </w:rPr>
      </w:pPr>
      <w:r>
        <w:rPr>
          <w:rFonts w:ascii="Times New Roman" w:hAnsi="Times New Roman"/>
          <w:sz w:val="20"/>
          <w:vertAlign w:val="superscript"/>
        </w:rPr>
        <w:t>2</w:t>
      </w:r>
      <w:r>
        <w:rPr>
          <w:rFonts w:ascii="Times New Roman" w:hAnsi="Times New Roman"/>
          <w:sz w:val="20"/>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pPr>
        <w:pStyle w:val="Style16"/>
        <w:spacing w:before="60" w:after="0"/>
        <w:jc w:val="both"/>
        <w:rPr>
          <w:rFonts w:ascii="Times New Roman" w:hAnsi="Times New Roman"/>
          <w:color w:val="000000"/>
          <w:sz w:val="20"/>
        </w:rPr>
      </w:pPr>
      <w:r>
        <w:rPr>
          <w:rFonts w:ascii="Times New Roman" w:hAnsi="Times New Roman"/>
          <w:sz w:val="20"/>
          <w:vertAlign w:val="superscript"/>
        </w:rPr>
        <w:t>3</w:t>
      </w:r>
      <w:r>
        <w:rPr>
          <w:rFonts w:ascii="Times New Roman" w:hAnsi="Times New Roman"/>
          <w:sz w:val="20"/>
        </w:rPr>
        <w:t xml:space="preserve">  Відповідно до п. 1.13 Положенння про податок на нерухоме майно, відмінне від земельної ділянки, в Роздільнянській міській територіальній громаді, затвердженого рішенням Роздільнянської міської ради від 30 червня 2011 року № 263-VI (в редакції рішення від 08 липня 2021 року № 940-VIII) до  зональності І (приваблива) відносяться наступні населені пункти: місто Роздільна, село </w:t>
      </w:r>
      <w:r>
        <w:rPr>
          <w:rFonts w:ascii="Times New Roman" w:hAnsi="Times New Roman"/>
          <w:color w:val="000000"/>
          <w:sz w:val="20"/>
        </w:rPr>
        <w:t>Нові Чобручі,  село Матишівка</w:t>
      </w:r>
    </w:p>
    <w:p>
      <w:pPr>
        <w:pStyle w:val="Style16"/>
        <w:spacing w:before="60" w:after="0"/>
        <w:jc w:val="both"/>
        <w:rPr>
          <w:rFonts w:ascii="Times New Roman" w:hAnsi="Times New Roman"/>
          <w:color w:val="000000"/>
          <w:sz w:val="20"/>
        </w:rPr>
      </w:pPr>
      <w:r>
        <w:rPr>
          <w:rFonts w:ascii="Times New Roman" w:hAnsi="Times New Roman"/>
          <w:color w:val="000000"/>
          <w:sz w:val="20"/>
          <w:vertAlign w:val="superscript"/>
        </w:rPr>
        <w:t>4</w:t>
      </w:r>
      <w:r>
        <w:rPr>
          <w:rFonts w:ascii="Times New Roman" w:hAnsi="Times New Roman"/>
          <w:color w:val="000000"/>
          <w:sz w:val="20"/>
        </w:rPr>
        <w:t xml:space="preserve"> </w:t>
      </w:r>
      <w:r>
        <w:rPr>
          <w:rFonts w:ascii="Times New Roman" w:hAnsi="Times New Roman"/>
          <w:sz w:val="20"/>
        </w:rPr>
        <w:t xml:space="preserve">Відповідно до п. 1.14 Положенння про податок на нерухоме майно, відмінне від земельної ділянки, в Роздільнянській міській територіальній громаді, затвердженого рішенням Роздільнянської міської ради від 30 червня 2011 року № 263-VI (в редакції рішення від 08 липня 2021 року № 940-VIII) до  </w:t>
      </w:r>
      <w:r>
        <w:rPr>
          <w:rFonts w:ascii="Times New Roman" w:hAnsi="Times New Roman"/>
          <w:color w:val="000000"/>
          <w:sz w:val="20"/>
        </w:rPr>
        <w:t>зональності ІІ (зручна) відносяться наступні населені пункти: село Петро-Євдокіївка, село Новоукраїнка, село Шеметове, село Єреміївка, село Буцинівка, село Міліардівка, село Кузьменка, село Благодатне, село Калантаївка, село Вакулівка, село Виноградар, село Бецилове, село Кам’янка, село Кошари, село Понятівка, село Старостине</w:t>
      </w:r>
    </w:p>
    <w:p>
      <w:pPr>
        <w:pStyle w:val="Style16"/>
        <w:spacing w:before="60" w:after="0"/>
        <w:jc w:val="both"/>
        <w:rPr>
          <w:rFonts w:ascii="Times New Roman" w:hAnsi="Times New Roman"/>
          <w:color w:val="000000"/>
          <w:sz w:val="20"/>
        </w:rPr>
      </w:pPr>
      <w:r>
        <w:rPr>
          <w:rFonts w:ascii="Times New Roman" w:hAnsi="Times New Roman"/>
          <w:color w:val="000000"/>
          <w:sz w:val="20"/>
          <w:vertAlign w:val="superscript"/>
        </w:rPr>
        <w:t xml:space="preserve">5 </w:t>
      </w:r>
      <w:r>
        <w:rPr>
          <w:rFonts w:ascii="Times New Roman" w:hAnsi="Times New Roman"/>
          <w:sz w:val="20"/>
        </w:rPr>
        <w:t xml:space="preserve">Відповідно до п. 1.15 Положенння про податок на нерухоме майно, відмінне від земельної ділянки, в Роздільнянській міській територіальній громаді, затвердженого рішенням Роздільнянської міської ради від 30 червня 2011 року № 263-VI (в редакції рішення від 08 липня 2021 року № 940-VIII) до  </w:t>
      </w:r>
      <w:r>
        <w:rPr>
          <w:rFonts w:ascii="Times New Roman" w:hAnsi="Times New Roman"/>
          <w:color w:val="000000"/>
          <w:sz w:val="20"/>
        </w:rPr>
        <w:t>зональності ІІІ (інша) відносяться наступні населені пункти: село Капаклієве, село Карпівка, село Желепове, село Новоселівка, село Старокостянтинівка, село Новодмитрівка, село Будячки, село Новодмитрівка друга, село Миколаївка, село Новоградениця, село Перше травня, село Богнатове, село Бринівка, село Бурдівка, село Веселе, село Поташенкове, село Антонівка, село Володимирівка, село Покровка, село Андрієво-Іванове, село Карпове, село Олександрівка, село Лозове, село Балкове, село Бакалове, село Велізарове, село Надія, село Новий Гребеник, село Парканці, село Слобідка, село Сухе, село Шевченкове</w:t>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tbl>
      <w:tblPr>
        <w:tblpPr w:vertAnchor="text" w:horzAnchor="margin" w:tblpXSpec="right" w:leftFromText="180" w:rightFromText="180" w:tblpY="-202"/>
        <w:tblW w:w="4786" w:type="dxa"/>
        <w:jc w:val="right"/>
        <w:tblInd w:w="0" w:type="dxa"/>
        <w:tblLayout w:type="fixed"/>
        <w:tblCellMar>
          <w:top w:w="0" w:type="dxa"/>
          <w:left w:w="108" w:type="dxa"/>
          <w:bottom w:w="0" w:type="dxa"/>
          <w:right w:w="108" w:type="dxa"/>
        </w:tblCellMar>
        <w:tblLook w:firstRow="1" w:noVBand="0" w:lastRow="1" w:firstColumn="1" w:lastColumn="1" w:noHBand="0" w:val="01e0"/>
      </w:tblPr>
      <w:tblGrid>
        <w:gridCol w:w="4786"/>
      </w:tblGrid>
      <w:tr>
        <w:trPr/>
        <w:tc>
          <w:tcPr>
            <w:tcW w:w="4786" w:type="dxa"/>
            <w:tcBorders/>
          </w:tcPr>
          <w:p>
            <w:pPr>
              <w:pStyle w:val="Style15"/>
              <w:spacing w:before="0" w:after="0"/>
              <w:jc w:val="both"/>
              <w:rPr>
                <w:rFonts w:ascii="Times New Roman" w:hAnsi="Times New Roman"/>
                <w:i/>
                <w:i/>
                <w:sz w:val="20"/>
              </w:rPr>
            </w:pPr>
            <w:r>
              <w:rPr>
                <w:rFonts w:ascii="Times New Roman" w:hAnsi="Times New Roman"/>
                <w:i/>
                <w:sz w:val="20"/>
              </w:rPr>
              <w:t xml:space="preserve">Додаток 2 </w:t>
            </w:r>
          </w:p>
          <w:p>
            <w:pPr>
              <w:pStyle w:val="Style15"/>
              <w:spacing w:before="0" w:after="0"/>
              <w:jc w:val="both"/>
              <w:rPr>
                <w:rFonts w:ascii="Times New Roman" w:hAnsi="Times New Roman"/>
                <w:b w:val="false"/>
                <w:sz w:val="20"/>
              </w:rPr>
            </w:pPr>
            <w:r>
              <w:rPr>
                <w:rFonts w:ascii="Times New Roman" w:hAnsi="Times New Roman"/>
                <w:b w:val="false"/>
                <w:sz w:val="20"/>
              </w:rPr>
              <w:t xml:space="preserve">до рішення «Про встановлення на території Роздільнянської міської територіальної громади ставок та пільг із сплати податку на нерухоме майно, </w:t>
            </w:r>
          </w:p>
          <w:p>
            <w:pPr>
              <w:pStyle w:val="Style15"/>
              <w:spacing w:before="0" w:after="0"/>
              <w:jc w:val="left"/>
              <w:rPr>
                <w:rFonts w:ascii="Times New Roman" w:hAnsi="Times New Roman"/>
                <w:b w:val="false"/>
                <w:sz w:val="20"/>
              </w:rPr>
            </w:pPr>
            <w:r>
              <w:rPr>
                <w:rFonts w:ascii="Times New Roman" w:hAnsi="Times New Roman"/>
                <w:b w:val="false"/>
                <w:sz w:val="20"/>
              </w:rPr>
              <w:t>відмінне від земельної ділянки, на 2025 рік»</w:t>
            </w:r>
          </w:p>
          <w:p>
            <w:pPr>
              <w:pStyle w:val="Normal"/>
              <w:spacing w:before="0" w:after="0"/>
              <w:rPr>
                <w:rFonts w:ascii="Times New Roman" w:hAnsi="Times New Roman"/>
                <w:b/>
                <w:sz w:val="20"/>
                <w:szCs w:val="20"/>
                <w:lang w:val="uk-UA"/>
              </w:rPr>
            </w:pPr>
            <w:r>
              <w:rPr>
                <w:rFonts w:ascii="Times New Roman" w:hAnsi="Times New Roman"/>
                <w:b/>
                <w:sz w:val="20"/>
                <w:szCs w:val="20"/>
                <w:lang w:val="uk-UA"/>
              </w:rPr>
            </w:r>
          </w:p>
          <w:p>
            <w:pPr>
              <w:pStyle w:val="Normal"/>
              <w:spacing w:before="0" w:after="0"/>
              <w:rPr>
                <w:rFonts w:ascii="Times New Roman" w:hAnsi="Times New Roman"/>
                <w:b/>
                <w:sz w:val="20"/>
                <w:szCs w:val="20"/>
                <w:lang w:val="uk-UA"/>
              </w:rPr>
            </w:pPr>
            <w:r>
              <w:rPr>
                <w:rFonts w:ascii="Times New Roman" w:hAnsi="Times New Roman"/>
                <w:b/>
                <w:sz w:val="20"/>
                <w:szCs w:val="20"/>
                <w:lang w:val="uk-UA"/>
              </w:rPr>
              <w:t>ЗАТВЕРДЖЕНО:</w:t>
            </w:r>
          </w:p>
          <w:p>
            <w:pPr>
              <w:pStyle w:val="Normal"/>
              <w:spacing w:before="0" w:after="0"/>
              <w:rPr>
                <w:rFonts w:ascii="Times New Roman" w:hAnsi="Times New Roman"/>
                <w:sz w:val="20"/>
                <w:szCs w:val="20"/>
                <w:lang w:val="uk-UA"/>
              </w:rPr>
            </w:pPr>
            <w:r>
              <w:rPr>
                <w:rFonts w:ascii="Times New Roman" w:hAnsi="Times New Roman"/>
                <w:sz w:val="20"/>
                <w:szCs w:val="20"/>
                <w:lang w:val="uk-UA"/>
              </w:rPr>
              <w:t xml:space="preserve">рішення Роздільнянської міської ради </w:t>
            </w:r>
          </w:p>
          <w:p>
            <w:pPr>
              <w:pStyle w:val="Normal"/>
              <w:spacing w:before="0" w:after="0"/>
              <w:rPr>
                <w:rFonts w:ascii="Times New Roman" w:hAnsi="Times New Roman"/>
                <w:sz w:val="20"/>
                <w:szCs w:val="20"/>
                <w:lang w:val="uk-UA"/>
              </w:rPr>
            </w:pPr>
            <w:r>
              <w:rPr>
                <w:rFonts w:ascii="Times New Roman" w:hAnsi="Times New Roman"/>
                <w:sz w:val="20"/>
                <w:szCs w:val="20"/>
                <w:lang w:val="uk-UA"/>
              </w:rPr>
              <w:t>Одеської області</w:t>
            </w:r>
          </w:p>
          <w:p>
            <w:pPr>
              <w:pStyle w:val="Normal"/>
              <w:spacing w:before="0" w:after="0"/>
              <w:rPr>
                <w:rFonts w:ascii="Times New Roman" w:hAnsi="Times New Roman"/>
                <w:lang w:val="uk-UA"/>
              </w:rPr>
            </w:pPr>
            <w:r>
              <w:rPr>
                <w:rFonts w:ascii="Times New Roman" w:hAnsi="Times New Roman"/>
                <w:sz w:val="20"/>
                <w:szCs w:val="20"/>
                <w:lang w:val="uk-UA"/>
              </w:rPr>
              <w:t>від «___» ______ 2024 року № _____-VІII</w:t>
            </w:r>
          </w:p>
        </w:tc>
      </w:tr>
    </w:tbl>
    <w:p>
      <w:pPr>
        <w:pStyle w:val="Style15"/>
        <w:rPr>
          <w:rFonts w:ascii="Times New Roman" w:hAnsi="Times New Roman"/>
          <w:sz w:val="28"/>
          <w:szCs w:val="28"/>
        </w:rPr>
      </w:pPr>
      <w:r>
        <w:rPr>
          <w:rFonts w:ascii="Times New Roman" w:hAnsi="Times New Roman"/>
          <w:sz w:val="28"/>
          <w:szCs w:val="28"/>
        </w:rPr>
      </w:r>
    </w:p>
    <w:p>
      <w:pPr>
        <w:pStyle w:val="Style15"/>
        <w:rPr>
          <w:rFonts w:ascii="Times New Roman" w:hAnsi="Times New Roman"/>
          <w:sz w:val="28"/>
          <w:szCs w:val="28"/>
        </w:rPr>
      </w:pPr>
      <w:r>
        <w:rPr>
          <w:rFonts w:ascii="Times New Roman" w:hAnsi="Times New Roman"/>
          <w:sz w:val="28"/>
          <w:szCs w:val="28"/>
        </w:rPr>
      </w:r>
    </w:p>
    <w:p>
      <w:pPr>
        <w:pStyle w:val="Style15"/>
        <w:rPr>
          <w:rFonts w:ascii="Times New Roman" w:hAnsi="Times New Roman"/>
          <w:sz w:val="28"/>
          <w:szCs w:val="28"/>
        </w:rPr>
      </w:pPr>
      <w:r>
        <w:rPr>
          <w:rFonts w:ascii="Times New Roman" w:hAnsi="Times New Roman"/>
          <w:sz w:val="28"/>
          <w:szCs w:val="28"/>
        </w:rPr>
      </w:r>
    </w:p>
    <w:p>
      <w:pPr>
        <w:pStyle w:val="Style15"/>
        <w:rPr>
          <w:rFonts w:ascii="Times New Roman" w:hAnsi="Times New Roman"/>
          <w:sz w:val="28"/>
          <w:szCs w:val="28"/>
        </w:rPr>
      </w:pPr>
      <w:r>
        <w:rPr>
          <w:rFonts w:ascii="Times New Roman" w:hAnsi="Times New Roman"/>
          <w:sz w:val="28"/>
          <w:szCs w:val="28"/>
        </w:rPr>
      </w:r>
    </w:p>
    <w:p>
      <w:pPr>
        <w:pStyle w:val="Style15"/>
        <w:rPr>
          <w:rFonts w:ascii="Times New Roman" w:hAnsi="Times New Roman"/>
          <w:sz w:val="24"/>
          <w:szCs w:val="24"/>
        </w:rPr>
      </w:pPr>
      <w:r>
        <w:rPr>
          <w:rFonts w:ascii="Times New Roman" w:hAnsi="Times New Roman"/>
          <w:sz w:val="24"/>
          <w:szCs w:val="24"/>
        </w:rPr>
        <w:t>ПЕРЕЛІК</w:t>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p>
    <w:p>
      <w:pPr>
        <w:pStyle w:val="Style16"/>
        <w:rPr>
          <w:rFonts w:ascii="Times New Roman" w:hAnsi="Times New Roman"/>
          <w:sz w:val="24"/>
          <w:szCs w:val="24"/>
        </w:rPr>
      </w:pPr>
      <w:r>
        <w:rPr>
          <w:rFonts w:ascii="Times New Roman" w:hAnsi="Times New Roman"/>
          <w:sz w:val="24"/>
          <w:szCs w:val="24"/>
        </w:rPr>
        <w:t>Пільги встановлюються на 2025 рік та вводяться в дію  з 01 січня 2025  року.</w:t>
      </w:r>
    </w:p>
    <w:p>
      <w:pPr>
        <w:pStyle w:val="Style16"/>
        <w:spacing w:before="120" w:after="120"/>
        <w:jc w:val="both"/>
        <w:rPr>
          <w:rFonts w:ascii="Times New Roman" w:hAnsi="Times New Roman"/>
          <w:sz w:val="24"/>
          <w:szCs w:val="24"/>
        </w:rPr>
      </w:pPr>
      <w:r>
        <w:rPr>
          <w:rFonts w:ascii="Times New Roman" w:hAnsi="Times New Roman"/>
          <w:sz w:val="24"/>
          <w:szCs w:val="24"/>
        </w:rPr>
        <w:t>Адміністративно-територіальні одиниці або населені пункти, або території  територіальних громад, на які поширюється дія рішення ради за даними Кодифікатора адміністративно-територіальних одиниць та територій територіальних громад:</w:t>
      </w:r>
    </w:p>
    <w:tbl>
      <w:tblPr>
        <w:tblW w:w="9648" w:type="dxa"/>
        <w:jc w:val="left"/>
        <w:tblInd w:w="113" w:type="dxa"/>
        <w:tblLayout w:type="fixed"/>
        <w:tblCellMar>
          <w:top w:w="0" w:type="dxa"/>
          <w:left w:w="108" w:type="dxa"/>
          <w:bottom w:w="0" w:type="dxa"/>
          <w:right w:w="108" w:type="dxa"/>
        </w:tblCellMar>
        <w:tblLook w:firstRow="1" w:noVBand="0" w:lastRow="1" w:firstColumn="1" w:lastColumn="1" w:noHBand="0" w:val="01e0"/>
      </w:tblPr>
      <w:tblGrid>
        <w:gridCol w:w="2182"/>
        <w:gridCol w:w="2180"/>
        <w:gridCol w:w="2182"/>
        <w:gridCol w:w="1469"/>
        <w:gridCol w:w="1635"/>
      </w:tblGrid>
      <w:tr>
        <w:trPr/>
        <w:tc>
          <w:tcPr>
            <w:tcW w:w="21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 xml:space="preserve">Перший рівень </w:t>
            </w:r>
          </w:p>
        </w:tc>
        <w:tc>
          <w:tcPr>
            <w:tcW w:w="21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Другий рівень</w:t>
            </w:r>
          </w:p>
        </w:tc>
        <w:tc>
          <w:tcPr>
            <w:tcW w:w="21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Третій рівень</w:t>
            </w:r>
          </w:p>
        </w:tc>
        <w:tc>
          <w:tcPr>
            <w:tcW w:w="146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Категорія об’єкта</w:t>
            </w:r>
          </w:p>
        </w:tc>
        <w:tc>
          <w:tcPr>
            <w:tcW w:w="16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 xml:space="preserve">Назва об’єкта </w:t>
            </w:r>
          </w:p>
        </w:tc>
      </w:tr>
      <w:tr>
        <w:trPr/>
        <w:tc>
          <w:tcPr>
            <w:tcW w:w="21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bCs/>
                <w:sz w:val="20"/>
                <w:szCs w:val="20"/>
                <w:lang w:val="uk-UA"/>
              </w:rPr>
              <w:t>UA51000000000030770</w:t>
            </w:r>
          </w:p>
        </w:tc>
        <w:tc>
          <w:tcPr>
            <w:tcW w:w="21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21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146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область</w:t>
            </w:r>
          </w:p>
        </w:tc>
        <w:tc>
          <w:tcPr>
            <w:tcW w:w="16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 xml:space="preserve">Одеська </w:t>
            </w:r>
          </w:p>
        </w:tc>
      </w:tr>
      <w:tr>
        <w:trPr/>
        <w:tc>
          <w:tcPr>
            <w:tcW w:w="21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21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bCs/>
                <w:sz w:val="20"/>
                <w:szCs w:val="20"/>
                <w:lang w:val="uk-UA"/>
              </w:rPr>
              <w:t>UA51140000000094970</w:t>
            </w:r>
          </w:p>
        </w:tc>
        <w:tc>
          <w:tcPr>
            <w:tcW w:w="21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146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район</w:t>
            </w:r>
          </w:p>
        </w:tc>
        <w:tc>
          <w:tcPr>
            <w:tcW w:w="16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Роздільнянський</w:t>
            </w:r>
          </w:p>
        </w:tc>
      </w:tr>
      <w:tr>
        <w:trPr/>
        <w:tc>
          <w:tcPr>
            <w:tcW w:w="21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218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r>
          </w:p>
        </w:tc>
        <w:tc>
          <w:tcPr>
            <w:tcW w:w="21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bCs/>
                <w:sz w:val="20"/>
                <w:szCs w:val="20"/>
                <w:lang w:val="uk-UA"/>
              </w:rPr>
              <w:t>UA51140130000082333</w:t>
            </w:r>
          </w:p>
        </w:tc>
        <w:tc>
          <w:tcPr>
            <w:tcW w:w="146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sz w:val="20"/>
                <w:szCs w:val="20"/>
                <w:lang w:val="uk-UA"/>
              </w:rPr>
              <w:t>назва територіальної громади</w:t>
            </w:r>
          </w:p>
        </w:tc>
        <w:tc>
          <w:tcPr>
            <w:tcW w:w="163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sz w:val="20"/>
                <w:szCs w:val="20"/>
                <w:lang w:val="uk-UA"/>
              </w:rPr>
            </w:pPr>
            <w:r>
              <w:rPr>
                <w:rFonts w:ascii="Times New Roman" w:hAnsi="Times New Roman"/>
                <w:bCs/>
                <w:sz w:val="20"/>
                <w:szCs w:val="20"/>
                <w:lang w:val="uk-UA"/>
              </w:rPr>
              <w:t>Роздільнянська</w:t>
            </w:r>
          </w:p>
        </w:tc>
      </w:tr>
    </w:tbl>
    <w:p>
      <w:pPr>
        <w:pStyle w:val="Normal"/>
        <w:spacing w:lineRule="auto" w:line="240" w:before="0" w:after="0"/>
        <w:rPr>
          <w:rFonts w:ascii="Times New Roman" w:hAnsi="Times New Roman"/>
          <w:lang w:val="uk-UA"/>
        </w:rPr>
      </w:pPr>
      <w:r>
        <w:rPr>
          <w:rFonts w:ascii="Times New Roman" w:hAnsi="Times New Roman"/>
          <w:lang w:val="uk-UA"/>
        </w:rPr>
      </w:r>
    </w:p>
    <w:tbl>
      <w:tblPr>
        <w:tblW w:w="8472" w:type="dxa"/>
        <w:jc w:val="left"/>
        <w:tblInd w:w="209" w:type="dxa"/>
        <w:tblLayout w:type="fixed"/>
        <w:tblCellMar>
          <w:top w:w="0" w:type="dxa"/>
          <w:left w:w="108" w:type="dxa"/>
          <w:bottom w:w="0" w:type="dxa"/>
          <w:right w:w="108" w:type="dxa"/>
        </w:tblCellMar>
        <w:tblLook w:firstRow="0" w:noVBand="0" w:lastRow="0" w:firstColumn="0" w:lastColumn="0" w:noHBand="0" w:val="0000"/>
      </w:tblPr>
      <w:tblGrid>
        <w:gridCol w:w="3071"/>
        <w:gridCol w:w="2429"/>
        <w:gridCol w:w="2972"/>
      </w:tblGrid>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Четвертий рівень</w:t>
            </w:r>
          </w:p>
        </w:tc>
        <w:tc>
          <w:tcPr>
            <w:tcW w:w="24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Категорія об’єкта</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Назва об’єкта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UA51140130010040641</w:t>
            </w:r>
          </w:p>
        </w:tc>
        <w:tc>
          <w:tcPr>
            <w:tcW w:w="24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місто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Роздільна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UA51140130020070549</w:t>
            </w:r>
          </w:p>
        </w:tc>
        <w:tc>
          <w:tcPr>
            <w:tcW w:w="24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Андрієво-Іванове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UA51140130030061433</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Антонівка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UA51140130040025753</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Бакалове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UA51140130050069569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Балкове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UA51140130060018007</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Бецилове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UA51140130070086845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Благодатне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UA51140130080012385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Богнатове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UA51140130090065030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Бринівка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UA51140130100070779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Будячки</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UA51140130110082321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Бурдівка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UA51140130120094988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Буцинівка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UA51140130130086031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Вакулівка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UA51140130140043686</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Велізарове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UA51140130150016125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Веселе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UA51140130160082998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Виноградар</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UA51140130170055400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Володимирівка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UA51140130180031519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Єреміївка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UA51140130190033330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Желепове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UA51140130200071050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Калантаївка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UA51140130210012062</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Кам’янка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UA51140130220035348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Капаклієве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UA51140130230029900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Карпівка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UA51140130240086752</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Карпове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UA51140130250068550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Кошари</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UA51140130260081634</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Кузьменка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UA51140130270099035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Лозове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UA51140130280015730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Матишівка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UA51140130290091754</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Миколаївка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UA51140130300094570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Міліардівка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UA51140130310012174</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Надія</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UA51140130320046389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Новий Гребеник</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UA51140130330070013</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Нові Чобручі</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UA51140130340098719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Новоградениця</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UA51140130350067109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Новодмитрівка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UA51140130360073189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Новодмитрівка Друга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UA51140130370042421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Новоселівка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UA51140130380046719</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Новоукраїнка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UA51140130390087501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Олександрівка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UA51140130400039785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Парканці</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UA51140130410090130</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Перше Травня</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UA51140130420041666</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Петро-Євдокіївка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UA51140130430018701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Покровка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UA51140130440056462</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Понятівка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UA51140130450053115</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Поташенкове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UA51140130460020706</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Слобідка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UA51140130470013441</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Старокостянтинівка</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UA51140130480040108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Старостине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UA51140130490065448</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Сухе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UA51140130500011286</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Шевченкове</w:t>
            </w:r>
          </w:p>
        </w:tc>
      </w:tr>
      <w:tr>
        <w:trPr>
          <w:trHeight w:val="300" w:hRule="atLeast"/>
        </w:trPr>
        <w:tc>
          <w:tcPr>
            <w:tcW w:w="30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UA51140130510077217</w:t>
            </w:r>
          </w:p>
        </w:tc>
        <w:tc>
          <w:tcPr>
            <w:tcW w:w="242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lang w:val="uk-UA"/>
              </w:rPr>
            </w:pPr>
            <w:r>
              <w:rPr>
                <w:rFonts w:ascii="Times New Roman" w:hAnsi="Times New Roman"/>
                <w:bCs/>
                <w:lang w:val="uk-UA"/>
              </w:rPr>
              <w:t>село</w:t>
            </w:r>
          </w:p>
        </w:tc>
        <w:tc>
          <w:tcPr>
            <w:tcW w:w="29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bCs/>
                <w:lang w:val="uk-UA"/>
              </w:rPr>
            </w:pPr>
            <w:r>
              <w:rPr>
                <w:rFonts w:ascii="Times New Roman" w:hAnsi="Times New Roman"/>
                <w:bCs/>
                <w:lang w:val="uk-UA"/>
              </w:rPr>
              <w:t>Шеметове</w:t>
            </w:r>
          </w:p>
        </w:tc>
      </w:tr>
    </w:tbl>
    <w:p>
      <w:pPr>
        <w:pStyle w:val="Normal"/>
        <w:spacing w:lineRule="auto" w:line="240" w:before="0" w:after="0"/>
        <w:rPr>
          <w:rFonts w:ascii="Times New Roman" w:hAnsi="Times New Roman"/>
          <w:lang w:val="uk-UA"/>
        </w:rPr>
      </w:pPr>
      <w:r>
        <w:rPr>
          <w:rFonts w:ascii="Times New Roman" w:hAnsi="Times New Roman"/>
          <w:lang w:val="uk-UA"/>
        </w:rPr>
      </w:r>
    </w:p>
    <w:tbl>
      <w:tblPr>
        <w:tblW w:w="5000" w:type="pct"/>
        <w:jc w:val="left"/>
        <w:tblInd w:w="113" w:type="dxa"/>
        <w:tblLayout w:type="fixed"/>
        <w:tblCellMar>
          <w:top w:w="0" w:type="dxa"/>
          <w:left w:w="108" w:type="dxa"/>
          <w:bottom w:w="0" w:type="dxa"/>
          <w:right w:w="108" w:type="dxa"/>
        </w:tblCellMar>
        <w:tblLook w:firstRow="1" w:noVBand="0" w:lastRow="1" w:firstColumn="1" w:lastColumn="1" w:noHBand="0" w:val="01e0"/>
      </w:tblPr>
      <w:tblGrid>
        <w:gridCol w:w="6915"/>
        <w:gridCol w:w="2773"/>
      </w:tblGrid>
      <w:tr>
        <w:trPr/>
        <w:tc>
          <w:tcPr>
            <w:tcW w:w="6915"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center"/>
              <w:rPr>
                <w:rFonts w:ascii="Times New Roman" w:hAnsi="Times New Roman"/>
                <w:sz w:val="24"/>
                <w:szCs w:val="24"/>
              </w:rPr>
            </w:pPr>
            <w:r>
              <w:rPr>
                <w:rFonts w:ascii="Times New Roman" w:hAnsi="Times New Roman"/>
                <w:sz w:val="24"/>
                <w:szCs w:val="24"/>
              </w:rPr>
              <w:t>Група платників, категорія/класифікація</w:t>
              <w:br/>
              <w:t>будівель та споруд</w:t>
            </w:r>
          </w:p>
        </w:tc>
        <w:tc>
          <w:tcPr>
            <w:tcW w:w="2773"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center"/>
              <w:rPr>
                <w:rFonts w:ascii="Times New Roman" w:hAnsi="Times New Roman"/>
                <w:sz w:val="24"/>
                <w:szCs w:val="24"/>
              </w:rPr>
            </w:pPr>
            <w:r>
              <w:rPr>
                <w:rFonts w:ascii="Times New Roman" w:hAnsi="Times New Roman"/>
                <w:sz w:val="24"/>
                <w:szCs w:val="24"/>
              </w:rPr>
              <w:t>Розмір пільги</w:t>
              <w:br/>
              <w:t>(відсотків суми податкового зобов’язання за рік)</w:t>
            </w:r>
          </w:p>
        </w:tc>
      </w:tr>
      <w:tr>
        <w:trPr/>
        <w:tc>
          <w:tcPr>
            <w:tcW w:w="6915"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both"/>
              <w:rPr>
                <w:rFonts w:ascii="Times New Roman" w:hAnsi="Times New Roman"/>
                <w:sz w:val="24"/>
                <w:szCs w:val="24"/>
              </w:rPr>
            </w:pPr>
            <w:r>
              <w:rPr>
                <w:rFonts w:ascii="Times New Roman" w:hAnsi="Times New Roman"/>
                <w:sz w:val="24"/>
                <w:szCs w:val="24"/>
              </w:rPr>
              <w:t xml:space="preserve">Фізична особа – власник квартир/квартири незалежно від їх кількості </w:t>
            </w:r>
          </w:p>
        </w:tc>
        <w:tc>
          <w:tcPr>
            <w:tcW w:w="2773"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center"/>
              <w:rPr>
                <w:rFonts w:ascii="Times New Roman" w:hAnsi="Times New Roman"/>
                <w:sz w:val="24"/>
                <w:szCs w:val="24"/>
              </w:rPr>
            </w:pPr>
            <w:r>
              <w:rPr>
                <w:rFonts w:ascii="Times New Roman" w:hAnsi="Times New Roman"/>
                <w:sz w:val="24"/>
                <w:szCs w:val="24"/>
              </w:rPr>
              <w:t>на 60 кв. метрів</w:t>
            </w:r>
          </w:p>
        </w:tc>
      </w:tr>
      <w:tr>
        <w:trPr/>
        <w:tc>
          <w:tcPr>
            <w:tcW w:w="6915"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both"/>
              <w:rPr>
                <w:rFonts w:ascii="Times New Roman" w:hAnsi="Times New Roman"/>
                <w:sz w:val="24"/>
                <w:szCs w:val="24"/>
              </w:rPr>
            </w:pPr>
            <w:r>
              <w:rPr>
                <w:rFonts w:ascii="Times New Roman" w:hAnsi="Times New Roman"/>
                <w:sz w:val="24"/>
                <w:szCs w:val="24"/>
              </w:rPr>
              <w:t>Фізична особа – власник житлового будинку/будинків  незалежно від їх кількості</w:t>
            </w:r>
          </w:p>
        </w:tc>
        <w:tc>
          <w:tcPr>
            <w:tcW w:w="2773"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center"/>
              <w:rPr>
                <w:rFonts w:ascii="Times New Roman" w:hAnsi="Times New Roman"/>
                <w:sz w:val="24"/>
                <w:szCs w:val="24"/>
              </w:rPr>
            </w:pPr>
            <w:r>
              <w:rPr>
                <w:rFonts w:ascii="Times New Roman" w:hAnsi="Times New Roman"/>
                <w:sz w:val="24"/>
                <w:szCs w:val="24"/>
              </w:rPr>
              <w:t>на 120 кв. метрів</w:t>
            </w:r>
          </w:p>
        </w:tc>
      </w:tr>
      <w:tr>
        <w:trPr/>
        <w:tc>
          <w:tcPr>
            <w:tcW w:w="6915"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both"/>
              <w:rPr>
                <w:rFonts w:ascii="Times New Roman" w:hAnsi="Times New Roman"/>
                <w:sz w:val="24"/>
                <w:szCs w:val="24"/>
              </w:rPr>
            </w:pPr>
            <w:r>
              <w:rPr>
                <w:rFonts w:ascii="Times New Roman" w:hAnsi="Times New Roman"/>
                <w:sz w:val="24"/>
                <w:szCs w:val="24"/>
              </w:rPr>
              <w:t xml:space="preserve">Фізична особа – власник </w:t>
            </w:r>
            <w:r>
              <w:rPr>
                <w:rFonts w:ascii="Times New Roman" w:hAnsi="Times New Roman"/>
                <w:color w:val="000000"/>
                <w:sz w:val="24"/>
                <w:szCs w:val="24"/>
                <w:shd w:fill="FFFFFF" w:val="clear"/>
              </w:rPr>
              <w:t>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w:t>
            </w:r>
          </w:p>
        </w:tc>
        <w:tc>
          <w:tcPr>
            <w:tcW w:w="2773"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center"/>
              <w:rPr>
                <w:rFonts w:ascii="Times New Roman" w:hAnsi="Times New Roman"/>
                <w:sz w:val="24"/>
                <w:szCs w:val="24"/>
              </w:rPr>
            </w:pPr>
            <w:r>
              <w:rPr>
                <w:rFonts w:ascii="Times New Roman" w:hAnsi="Times New Roman"/>
                <w:sz w:val="24"/>
                <w:szCs w:val="24"/>
              </w:rPr>
              <w:t>на 180 кв. метрів</w:t>
            </w:r>
          </w:p>
        </w:tc>
      </w:tr>
      <w:tr>
        <w:trPr/>
        <w:tc>
          <w:tcPr>
            <w:tcW w:w="6915"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both"/>
              <w:rPr>
                <w:rFonts w:ascii="Times New Roman" w:hAnsi="Times New Roman"/>
                <w:sz w:val="24"/>
                <w:szCs w:val="24"/>
              </w:rPr>
            </w:pPr>
            <w:r>
              <w:rPr>
                <w:rFonts w:ascii="Times New Roman" w:hAnsi="Times New Roman"/>
                <w:sz w:val="24"/>
                <w:szCs w:val="24"/>
              </w:rPr>
              <w:t xml:space="preserve">Фізичні та юридичні особи, які є власниками об’єктів житлової та/або нежитлової нерухомості, визначеної підпунктом 266.2.2 пункту 266.2 статті 266 Податкового кодексу України </w:t>
            </w:r>
          </w:p>
        </w:tc>
        <w:tc>
          <w:tcPr>
            <w:tcW w:w="2773" w:type="dxa"/>
            <w:tcBorders>
              <w:top w:val="single" w:sz="4" w:space="0" w:color="000000"/>
              <w:left w:val="single" w:sz="4" w:space="0" w:color="000000"/>
              <w:bottom w:val="single" w:sz="4" w:space="0" w:color="000000"/>
              <w:right w:val="single" w:sz="4" w:space="0" w:color="000000"/>
            </w:tcBorders>
            <w:vAlign w:val="center"/>
          </w:tcPr>
          <w:p>
            <w:pPr>
              <w:pStyle w:val="Style16"/>
              <w:spacing w:before="120" w:after="0"/>
              <w:ind w:firstLine="28"/>
              <w:jc w:val="center"/>
              <w:rPr>
                <w:rFonts w:ascii="Times New Roman" w:hAnsi="Times New Roman"/>
                <w:sz w:val="24"/>
                <w:szCs w:val="24"/>
              </w:rPr>
            </w:pPr>
            <w:r>
              <w:rPr>
                <w:rFonts w:ascii="Times New Roman" w:hAnsi="Times New Roman"/>
                <w:sz w:val="24"/>
                <w:szCs w:val="24"/>
              </w:rPr>
              <w:t>100 %</w:t>
            </w:r>
          </w:p>
        </w:tc>
      </w:tr>
    </w:tbl>
    <w:p>
      <w:pPr>
        <w:pStyle w:val="Style16"/>
        <w:ind w:hanging="0"/>
        <w:jc w:val="both"/>
        <w:rPr>
          <w:rFonts w:ascii="Times New Roman" w:hAnsi="Times New Roman"/>
          <w:sz w:val="24"/>
          <w:szCs w:val="24"/>
        </w:rPr>
      </w:pPr>
      <w:r>
        <w:rPr>
          <w:rFonts w:ascii="Times New Roman" w:hAnsi="Times New Roman"/>
          <w:sz w:val="24"/>
          <w:szCs w:val="24"/>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spacing w:before="0" w:after="200"/>
        <w:rPr>
          <w:lang w:val="uk-UA"/>
        </w:rPr>
      </w:pPr>
      <w:r>
        <w:rPr>
          <w:lang w:val="uk-UA"/>
        </w:rPr>
      </w:r>
    </w:p>
    <w:sectPr>
      <w:type w:val="nextPage"/>
      <w:pgSz w:w="12240" w:h="15840"/>
      <w:pgMar w:left="1701" w:right="850" w:gutter="0" w:header="0" w:top="426" w:footer="0" w:bottom="42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Batang">
    <w:altName w:val="바탕"/>
    <w:charset w:val="cc"/>
    <w:family w:val="roman"/>
    <w:pitch w:val="variable"/>
  </w:font>
  <w:font w:name="Times New Roman">
    <w:charset w:val="cc"/>
    <w:family w:val="roman"/>
    <w:pitch w:val="variable"/>
  </w:font>
  <w:font w:name="Liberation Sans">
    <w:altName w:val="Arial"/>
    <w:charset w:val="cc"/>
    <w:family w:val="swiss"/>
    <w:pitch w:val="variable"/>
  </w:font>
  <w:font w:name="Antiqua">
    <w:charset w:val="cc"/>
    <w:family w:val="roman"/>
    <w:pitch w:val="variable"/>
  </w:font>
</w:fonts>
</file>

<file path=word/settings.xml><?xml version="1.0" encoding="utf-8"?>
<w:settings xmlns:w="http://schemas.openxmlformats.org/wordprocessingml/2006/main">
  <w:zoom w:percent="100"/>
  <w:defaultTabStop w:val="720"/>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372c4"/>
    <w:pPr>
      <w:widowControl/>
      <w:bidi w:val="0"/>
      <w:spacing w:lineRule="auto" w:line="276" w:before="0" w:after="20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Heading1">
    <w:name w:val="Heading 1"/>
    <w:basedOn w:val="Normal"/>
    <w:next w:val="Normal"/>
    <w:link w:val="1"/>
    <w:qFormat/>
    <w:rsid w:val="004372c4"/>
    <w:pPr>
      <w:keepNext w:val="true"/>
      <w:spacing w:lineRule="auto" w:line="240" w:before="240" w:after="60"/>
      <w:outlineLvl w:val="0"/>
    </w:pPr>
    <w:rPr>
      <w:rFonts w:ascii="Arial" w:hAnsi="Arial" w:eastAsia="Arial Unicode MS" w:cs="Arial"/>
      <w:b/>
      <w:bCs/>
      <w:kern w:val="2"/>
      <w:sz w:val="32"/>
      <w:szCs w:val="32"/>
      <w:lang w:val="uk-UA"/>
    </w:rPr>
  </w:style>
  <w:style w:type="paragraph" w:styleId="Heading2">
    <w:name w:val="Heading 2"/>
    <w:basedOn w:val="Normal"/>
    <w:next w:val="Normal"/>
    <w:link w:val="2"/>
    <w:qFormat/>
    <w:rsid w:val="004372c4"/>
    <w:pPr>
      <w:keepNext w:val="true"/>
      <w:spacing w:before="240" w:after="60"/>
      <w:outlineLvl w:val="1"/>
    </w:pPr>
    <w:rPr>
      <w:rFonts w:ascii="Arial" w:hAnsi="Arial" w:cs="Arial"/>
      <w:b/>
      <w:bCs/>
      <w:i/>
      <w:iCs/>
      <w:sz w:val="28"/>
      <w:szCs w:val="28"/>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4372c4"/>
    <w:rPr>
      <w:rFonts w:ascii="Arial" w:hAnsi="Arial" w:eastAsia="Arial Unicode MS" w:cs="Arial"/>
      <w:b/>
      <w:bCs/>
      <w:kern w:val="2"/>
      <w:sz w:val="32"/>
      <w:szCs w:val="32"/>
      <w:lang w:val="uk-UA" w:eastAsia="ru-RU"/>
    </w:rPr>
  </w:style>
  <w:style w:type="character" w:styleId="2" w:customStyle="1">
    <w:name w:val="Заголовок 2 Знак"/>
    <w:basedOn w:val="DefaultParagraphFont"/>
    <w:qFormat/>
    <w:rsid w:val="004372c4"/>
    <w:rPr>
      <w:rFonts w:ascii="Arial" w:hAnsi="Arial" w:eastAsia="Times New Roman" w:cs="Arial"/>
      <w:b/>
      <w:bCs/>
      <w:i/>
      <w:iCs/>
      <w:sz w:val="28"/>
      <w:szCs w:val="28"/>
      <w:lang w:val="ru-RU" w:eastAsia="ru-RU"/>
    </w:rPr>
  </w:style>
  <w:style w:type="character" w:styleId="11">
    <w:name w:val="Основной текст с отступом Знак1"/>
    <w:qFormat/>
    <w:rPr>
      <w:rFonts w:ascii="Batang" w:hAnsi="Batang" w:eastAsia="Batang" w:cs="Times New Roman"/>
      <w:color w:val="000000"/>
    </w:rPr>
  </w:style>
  <w:style w:type="character" w:styleId="Style12">
    <w:name w:val="Основной текст с отступом Знак"/>
    <w:qFormat/>
    <w:rPr>
      <w:rFonts w:ascii="Times New Roman" w:hAnsi="Times New Roman" w:eastAsia="Times New Roman" w:cs="Times New Roman"/>
      <w:color w:val="000000"/>
      <w:sz w:val="24"/>
      <w:szCs w:val="24"/>
    </w:rPr>
  </w:style>
  <w:style w:type="paragraph" w:styleId="Style13">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4">
    <w:name w:val="Покажчик"/>
    <w:basedOn w:val="Normal"/>
    <w:qFormat/>
    <w:pPr>
      <w:suppressLineNumbers/>
    </w:pPr>
    <w:rPr>
      <w:rFonts w:cs="Lucida Sans"/>
    </w:rPr>
  </w:style>
  <w:style w:type="paragraph" w:styleId="Style15" w:customStyle="1">
    <w:name w:val="Назва документа"/>
    <w:basedOn w:val="Normal"/>
    <w:next w:val="Normal"/>
    <w:qFormat/>
    <w:rsid w:val="004372c4"/>
    <w:pPr>
      <w:keepNext w:val="true"/>
      <w:keepLines/>
      <w:spacing w:lineRule="auto" w:line="240" w:before="240" w:after="240"/>
      <w:jc w:val="center"/>
    </w:pPr>
    <w:rPr>
      <w:rFonts w:ascii="Antiqua" w:hAnsi="Antiqua"/>
      <w:b/>
      <w:sz w:val="26"/>
      <w:szCs w:val="20"/>
      <w:lang w:val="uk-UA"/>
    </w:rPr>
  </w:style>
  <w:style w:type="paragraph" w:styleId="Style16" w:customStyle="1">
    <w:name w:val="Нормальний текст"/>
    <w:basedOn w:val="Normal"/>
    <w:qFormat/>
    <w:rsid w:val="004372c4"/>
    <w:pPr>
      <w:spacing w:lineRule="auto" w:line="240" w:before="120" w:after="0"/>
      <w:ind w:firstLine="567"/>
    </w:pPr>
    <w:rPr>
      <w:rFonts w:ascii="Antiqua" w:hAnsi="Antiqua"/>
      <w:sz w:val="26"/>
      <w:szCs w:val="20"/>
      <w:lang w:val="uk-UA"/>
    </w:rPr>
  </w:style>
  <w:style w:type="paragraph" w:styleId="Style17">
    <w:name w:val="Вміст рамки"/>
    <w:basedOn w:val="Normal"/>
    <w:qFormat/>
    <w:pPr/>
    <w:rPr/>
  </w:style>
  <w:style w:type="paragraph" w:styleId="Style18">
    <w:name w:val="ДинТекстОбыч"/>
    <w:basedOn w:val="Normal"/>
    <w:qFormat/>
    <w:pPr>
      <w:widowControl w:val="false"/>
      <w:spacing w:lineRule="exact" w:line="240" w:before="0" w:after="0"/>
      <w:jc w:val="both"/>
    </w:pPr>
    <w:rPr>
      <w:rFonts w:ascii="Times New Roman" w:hAnsi="Times New Roman" w:eastAsia="Times New Roman" w:cs="Times New Roman"/>
      <w:color w:val="00000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LibreOffice/7.6.2.1$Windows_X86_64 LibreOffice_project/56f7684011345957bbf33a7ee678afaf4d2ba333</Application>
  <AppVersion>15.0000</AppVersion>
  <Pages>21</Pages>
  <Words>4266</Words>
  <Characters>28502</Characters>
  <CharactersWithSpaces>32019</CharactersWithSpaces>
  <Paragraphs>959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
  <dc:language>uk-UA</dc:language>
  <cp:lastModifiedBy/>
  <dcterms:modified xsi:type="dcterms:W3CDTF">2024-07-04T09:43:59Z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