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ind w:hanging="0" w:start="5783" w:end="0"/>
        <w:contextualSpacing/>
        <w:jc w:val="both"/>
        <w:rPr>
          <w:b/>
          <w:bCs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Додаток 1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 xml:space="preserve">до 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Програми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>(в редакції рішення міської ради</w:t>
      </w:r>
    </w:p>
    <w:p>
      <w:pPr>
        <w:pStyle w:val="Normal"/>
        <w:spacing w:before="0" w:after="160"/>
        <w:ind w:firstLine="709" w:start="5051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01 грудня 2022 року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>№</w:t>
      </w:r>
      <w:hyperlink r:id="rId2">
        <w:r>
          <w:rPr>
            <w:rStyle w:val="Hyperlink"/>
            <w:rFonts w:cs="Times New Roman" w:ascii="Times New Roman" w:hAnsi="Times New Roman"/>
            <w:bCs/>
            <w:sz w:val="24"/>
            <w:szCs w:val="24"/>
            <w:lang w:val="uk-UA"/>
          </w:rPr>
          <w:t>2788-</w:t>
        </w:r>
        <w:r>
          <w:rPr>
            <w:rStyle w:val="Hyperlink"/>
            <w:rFonts w:cs="Times New Roman" w:ascii="Times New Roman" w:hAnsi="Times New Roman"/>
            <w:bCs/>
            <w:sz w:val="24"/>
            <w:szCs w:val="24"/>
            <w:lang w:val="uk-UA"/>
          </w:rPr>
          <w:t>VIII</w:t>
        </w:r>
      </w:hyperlink>
      <w:r>
        <w:rPr>
          <w:rFonts w:cs="Times New Roman" w:ascii="Times New Roman" w:hAnsi="Times New Roman"/>
          <w:bCs/>
          <w:sz w:val="24"/>
          <w:szCs w:val="24"/>
          <w:lang w:val="uk-UA"/>
        </w:rPr>
        <w:t>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ПАСПОРТ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Програми розвитку системи освіти Роздільнянської міської територіальної громади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на 2021-2023 роки</w:t>
      </w:r>
    </w:p>
    <w:tbl>
      <w:tblPr>
        <w:tblpPr w:vertAnchor="text" w:horzAnchor="page" w:leftFromText="180" w:rightFromText="180" w:tblpX="1596" w:tblpY="151"/>
        <w:tblW w:w="963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704"/>
        <w:gridCol w:w="3775"/>
        <w:gridCol w:w="5155"/>
      </w:tblGrid>
      <w:tr>
        <w:trPr>
          <w:trHeight w:val="84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Програма розвитку системи освіти Роздільнянської міської територіальної громади на 2021-2023 роки</w:t>
            </w:r>
          </w:p>
        </w:tc>
      </w:tr>
      <w:tr>
        <w:trPr>
          <w:trHeight w:val="84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</w:t>
            </w:r>
          </w:p>
        </w:tc>
      </w:tr>
      <w:tr>
        <w:trPr>
          <w:trHeight w:val="1881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Підстави для розробки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Рішення виконавчого комітету Роздільнянської міської ради від 16 квітня 2021 року №137 «Про погодження Програми розвитку системи освіти Роздільнянської міської територіальної громади на 2021-2023 роки»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</w:t>
            </w:r>
          </w:p>
        </w:tc>
      </w:tr>
      <w:tr>
        <w:trPr>
          <w:trHeight w:val="498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Заклади освіти,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молоді і спорту Роздільнянської міської ради, Відділ культури Роздільнянської міської ради</w:t>
            </w:r>
          </w:p>
        </w:tc>
      </w:tr>
      <w:tr>
        <w:trPr>
          <w:trHeight w:val="846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Відділ освіти Роздільнянської міської ради,              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КУ «Роздільнянський центр освіти»</w:t>
            </w:r>
          </w:p>
        </w:tc>
      </w:tr>
      <w:tr>
        <w:trPr>
          <w:trHeight w:val="61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Організації-співвиконавці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 освіти Роздільнянської міської ради, Відділ молоді і спорту Роздільнянської міської ради, Відділ культури Роздільнянської міської ради, заклади освіти, громадські організації</w:t>
            </w:r>
          </w:p>
        </w:tc>
      </w:tr>
      <w:tr>
        <w:trPr>
          <w:trHeight w:val="61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Мета 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Розвиток неперервної освіти для забезпечення рівного доступу населення району до здобуття якісної освіти, удосконалення механізмів управління освітою, оптимізація її інфраструктури</w:t>
            </w:r>
          </w:p>
        </w:tc>
      </w:tr>
      <w:tr>
        <w:trPr>
          <w:trHeight w:val="61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</w:tr>
      <w:tr>
        <w:trPr>
          <w:trHeight w:val="983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837,0</w:t>
            </w:r>
          </w:p>
        </w:tc>
      </w:tr>
      <w:tr>
        <w:trPr>
          <w:trHeight w:val="498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837,0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84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498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837,0</w:t>
            </w:r>
          </w:p>
        </w:tc>
      </w:tr>
      <w:tr>
        <w:trPr>
          <w:trHeight w:val="498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84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Очікувані результати виконання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Удосконалення діючих моделей допрофільного та профільного навчання</w:t>
              <w:tab/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Впровадження інклюзивної форми навчання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Завершення оснащення  закладів загальної  середньої  освіти територіальної громади засобами безперешкодного доступу (пандуси, поручні та ін.)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постійна комісія з питань соціального захисту населення, молодіжної політики, охорони здоров’я, освіти, підтримки культури та спорту Роздільнянської міської ради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sectPr>
          <w:type w:val="nextPage"/>
          <w:pgSz w:w="12240" w:h="15840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ind w:firstLine="720" w:start="9360"/>
        <w:contextualSpacing/>
        <w:jc w:val="both"/>
        <w:rPr>
          <w:b/>
          <w:bCs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Додаток 2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 xml:space="preserve">до 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Програми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(в редакції рішення міської ради</w:t>
      </w:r>
    </w:p>
    <w:p>
      <w:pPr>
        <w:pStyle w:val="Normal"/>
        <w:spacing w:before="0" w:after="160"/>
        <w:ind w:firstLine="709" w:start="9371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01 грудня 2022 року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№2788-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VII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)</w:t>
      </w:r>
    </w:p>
    <w:tbl>
      <w:tblPr>
        <w:tblpPr w:vertAnchor="text" w:horzAnchor="margin" w:tblpXSpec="center" w:tblpY="562"/>
        <w:tblW w:w="4950" w:type="pct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668"/>
        <w:gridCol w:w="1859"/>
        <w:gridCol w:w="799"/>
        <w:gridCol w:w="2095"/>
        <w:gridCol w:w="1035"/>
        <w:gridCol w:w="724"/>
        <w:gridCol w:w="756"/>
        <w:gridCol w:w="16"/>
        <w:gridCol w:w="16"/>
        <w:gridCol w:w="739"/>
        <w:gridCol w:w="3578"/>
        <w:gridCol w:w="11"/>
      </w:tblGrid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Пріоритетні завдання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Заходи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Строк виконання заходу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Виконавець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Джерела</w:t>
            </w:r>
          </w:p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фінансування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Орієнтовні обсяги фінансування (вартість), тис.грн, </w:t>
            </w:r>
          </w:p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у тому числі: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Очікуваний результат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За роками виконання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2021 рік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2022 рік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2023 рік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29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РОЗДІЛ І.  СТВОРЕННЯ УМОВ ДЛЯ ЗДОБУТТЯ ОСВІТИ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Забезпечити реалізацію права громадян щодо здобуття дошкільної і загальної середньої освіти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Отримання і придбання шкільних автобусів, які відповідають ДСТУ 7013:2009 для створення парку власних шкільних автобусів і заміни тих, які виробили ресурс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Департамент освіти і науки Одеської обласної державної адміністрації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фінансування передбачається за рахунок відповідної субвенції з державноо бюджету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100% задоволення освітніх потреб населення;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підвозу дітей закладів освіти для здобуття якісної освіти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29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РОЗДІЛ ІІ.  КАДРОВЕ ЗАБЕЗПЕЧЕННЯ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Кадрове забезпечення педагогічними працівниками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Здійснення постійного моніторингу для визначення на період до 2023 року потребу в педагогічних працівниках для закладів дошкільної та загальної середньої освіти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2021-2023 роки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Відділ освіти Роздільнянської міської ради, керівники закладів освіти 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Модернізована система освіти в умовах децентралізації для забезпечення нової якості керівних і педагогічних кадрів – «агентів змін»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Підвищити професійний рівень педагогічних працівників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Впроваджувати сучасні технології та методики підвищення кваліфікації педагогів протягом міжатестаційно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го періоду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фінансування, заходи передбачені в режимі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line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Запровадження нових моделей, форм і методів підвищення кваліфікації педагогічних працівників, підготовки педагогів громади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29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РОЗДІЛ ІІІ. ДОШКІЛЬНА ОСВІТА</w:t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Забезпечити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100%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охоплення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дітей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'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ятирічного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віку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всіма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формами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дошкільної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освіти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Створення груп короткотривалого перебування у функціонуючих закладах освіти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Відділ освіти Роздільнянської міської ради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100% охоплення дітей 5-річного віку дошкільною освітою в закладах різних типів і форм власності 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Модернізувати освітньо-виховну та управлінську діяльність в закладах дошкільної освіти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Проведення семінарів, майстер-класів, педагогічних майстерень з питань сучасних проблем дошкільної освіти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Умотивований до неперервного навчання вихователь, побудова освітнього процесу за принципом дитиноцентризму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96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IV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. ЗАГАЛЬНА СЕРЕДНЯ ОСВІТА</w:t>
            </w:r>
          </w:p>
        </w:tc>
        <w:tc>
          <w:tcPr>
            <w:tcW w:w="43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Розвивати життєздатну систему безперервного навчання і виховання, яка б відповідала потребам і запитам особистості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Надання якісної освіти, функціонування освітнього округу</w:t>
              <w:tab/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права кожної дитини на здобуття якісної освіти, визначення та створення опорного закладу та його філій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Об’єднати зусилля навчальних закладів, закладів і установ культури, сім’ї у створенні оптимальних умов для розвитку та творчої реалізації обдарованих дітей і молоді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Забезпечити проведення: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-Всеукраїнських предметних олімпіад;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 літературних, мистецьких конкурсів;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 конкурсів-захистів МАН;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-турнірів;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-Спартакіад;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-фестивалів;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освіти, відділ культури, відділ молоді і спорту Роздільнянської міської ради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Збільшено на 20% кількість призерів/переможців олімпіад, турнірів, конкурсів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7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Підвищити рівень навчання дітей та молоді 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всеукраїнських та міжнародних школах юних науковців, розширення мережі класів та груп з поглибленим профільним вивченням окремих навчальних предметів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Встановлені партнерські зв’язки, створена система обміну досвідом. Залучення обдарованої молоді до участі в міжнародних проектах.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Забезпечити рівний і безоплатний доступ старшокласників до профільної та початкової допрофесійної підготовки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Внесення коректив до навчальних планів заклаів освіти щодо віділення годин на впровадження курсів з формування конкурентоспроможного випускника школи 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Якісно підготовлений випускник будь якої школи громади для вступу у бажаний ВНЗ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Аналізувати та коригувати освітні процеси, прогнозувати розвиток системи освіти та її окремих складових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Визначення рівня якості загальної середньої освіти в навчальних закладах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Підвищення рівня якості освіти в закладах громади на 10%, підвищення кількості учнів, які складають ЗНО на 180 балів і вище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Формувати у молоді риси громадянина Української держави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Організація та проведення в закладах освіти заходів щодо відзначення державних та національних свят; участь школярів у Всеукраїнський дитячо-юнацькій військово-патріотичній грі «Сокіл»(«Джура») та у військово-патріотичному таборі «Патріот»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освіти, відділ культури, відділ молоді і спорту Роздільнянської міської ради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Встановлені партнерські зв’язки; створена система обніму досвідом між школярами різних регіонів України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29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85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V.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 ПОЗАШКІЛЬНА ОСВІТА</w:t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Забезпечити якісну позашкільну освіту дітьми та учнівською молоддю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Забезпечення функціонування позашкільної освіти через систему гуртків, секцій, студій. 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164,0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70,0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Задоволення потреб учнівської молоді в додатковій освіті, держави та суспільства – у висококваліфікованих фахівцях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164,0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Розвивати та удосконалювати сучасні моделі забезпечення позашкільної освіти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Забезпечення участі у міських, районних, обласних, та Всеукраїнських конкурсах; сприяти підвищенню кваліфікації педагогічних працівників позашкільної освіти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Зростання ролі позашкільної освіти; підвищення рівня професійної компетентності педагогів позашкільної освіти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Проведення дитячих позашкільних заходів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30,0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30,0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3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29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VI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. ЄДИНИЙ ОСВІТНЬО-ГУМАНІТРАНИЙ ПРОСТІР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Об’єднати зусилля усіх соціальних секторів громади для досягнення максимального розкриття здібностей дитини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Проводити заходи на добудову закладів освіти – сучасних освітніх закладів громади</w:t>
            </w:r>
          </w:p>
        </w:tc>
        <w:tc>
          <w:tcPr>
            <w:tcW w:w="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Створення освітнього ХАБу, для обміну досвідом та ідеями між педагогічними працівниками, громадою</w:t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Додаток 3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 xml:space="preserve">до 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Програми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(в редакції рішення міської ради</w:t>
      </w:r>
    </w:p>
    <w:p>
      <w:pPr>
        <w:pStyle w:val="Normal"/>
        <w:spacing w:before="0" w:after="160"/>
        <w:ind w:firstLine="709" w:start="9371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01 грудня 2022 року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№2788-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VIII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Орієнтовний обсяг фінансового забезпечення 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Програми «Розвиток системи освіти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ru-RU"/>
        </w:rPr>
        <w:t>Роздільнянської міської територіальної громади</w:t>
      </w: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 на  2021-2023 роки»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tbl>
      <w:tblPr>
        <w:tblW w:w="12474" w:type="dxa"/>
        <w:jc w:val="start"/>
        <w:tblInd w:w="98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542"/>
        <w:gridCol w:w="1561"/>
        <w:gridCol w:w="1701"/>
        <w:gridCol w:w="1841"/>
        <w:gridCol w:w="3829"/>
      </w:tblGrid>
      <w:tr>
        <w:trPr>
          <w:trHeight w:val="936" w:hRule="atLeast"/>
        </w:trPr>
        <w:tc>
          <w:tcPr>
            <w:tcW w:w="35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center" w:pos="4819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right" w:pos="9639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start="0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Роки виконання програми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Усього обсяг фінансування</w:t>
            </w:r>
          </w:p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8"/>
                <w:lang w:val="uk-UA" w:eastAsia="ru-RU"/>
              </w:rPr>
              <w:t>тис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. грн)</w:t>
            </w:r>
          </w:p>
        </w:tc>
      </w:tr>
      <w:tr>
        <w:trPr>
          <w:trHeight w:val="745" w:hRule="atLeast"/>
        </w:trPr>
        <w:tc>
          <w:tcPr>
            <w:tcW w:w="35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1136" w:start="103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2022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Cs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  <w:t>2023</w:t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val="uk-UA" w:eastAsia="ru-RU"/>
              </w:rPr>
            </w:r>
          </w:p>
        </w:tc>
      </w:tr>
      <w:tr>
        <w:trPr>
          <w:trHeight w:val="158" w:hRule="atLeast"/>
        </w:trPr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 w:before="0" w:after="0"/>
              <w:ind w:start="1032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Державний бюджет  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</w:tr>
      <w:tr>
        <w:trPr>
          <w:trHeight w:val="158" w:hRule="atLeast"/>
        </w:trPr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 w:before="0" w:after="0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432,0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245,0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837,0</w:t>
            </w:r>
          </w:p>
        </w:tc>
      </w:tr>
      <w:tr>
        <w:trPr>
          <w:trHeight w:val="264" w:hRule="atLeast"/>
        </w:trPr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 w:before="0" w:after="0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</w:r>
          </w:p>
        </w:tc>
      </w:tr>
      <w:tr>
        <w:trPr>
          <w:trHeight w:val="264" w:hRule="atLeast"/>
        </w:trPr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Усього: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432,0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245,0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38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val="uk-UA" w:eastAsia="ru-RU"/>
              </w:rPr>
              <w:t>837,0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ind w:firstLine="720" w:start="9360"/>
        <w:contextualSpacing/>
        <w:jc w:val="both"/>
        <w:rPr>
          <w:b/>
          <w:bCs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Додаток 4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 xml:space="preserve">до 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програми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(в редакції рішення міської ради</w:t>
      </w:r>
    </w:p>
    <w:p>
      <w:pPr>
        <w:pStyle w:val="Normal"/>
        <w:spacing w:before="0" w:after="160"/>
        <w:ind w:firstLine="709" w:start="9371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01 грудня 2022 року</w:t>
      </w:r>
    </w:p>
    <w:p>
      <w:pPr>
        <w:pStyle w:val="Normal"/>
        <w:spacing w:before="0" w:after="160"/>
        <w:ind w:firstLine="709"/>
        <w:contextualSpacing/>
        <w:jc w:val="both"/>
        <w:rPr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№2788-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VIII</w:t>
      </w:r>
      <w:r>
        <w:rPr>
          <w:rFonts w:cs="Times New Roman" w:ascii="Times New Roman" w:hAnsi="Times New Roman"/>
          <w:bCs/>
          <w:sz w:val="24"/>
          <w:szCs w:val="24"/>
          <w:lang w:val="uk-UA"/>
        </w:rPr>
        <w:t>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>Очікувані кінцеві результати виконання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Програми розвитку системи освіти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ru-RU"/>
        </w:rPr>
        <w:t>Роздільнянської міської територіальної громади</w:t>
      </w: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 на  2021-2023 роки»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tbl>
      <w:tblPr>
        <w:tblpPr w:vertAnchor="text" w:horzAnchor="margin" w:tblpXSpec="center" w:leftFromText="180" w:rightFromText="180" w:tblpY="139"/>
        <w:tblW w:w="130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042"/>
        <w:gridCol w:w="3637"/>
        <w:gridCol w:w="1042"/>
        <w:gridCol w:w="1959"/>
        <w:gridCol w:w="1503"/>
        <w:gridCol w:w="1647"/>
        <w:gridCol w:w="1211"/>
      </w:tblGrid>
      <w:tr>
        <w:trPr/>
        <w:tc>
          <w:tcPr>
            <w:tcW w:w="20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завдання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показника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Одиниця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виміру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Значення показника</w:t>
            </w:r>
          </w:p>
        </w:tc>
      </w:tr>
      <w:tr>
        <w:trPr/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36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роками</w:t>
            </w:r>
          </w:p>
        </w:tc>
      </w:tr>
      <w:tr>
        <w:trPr/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36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9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2021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 w:eastAsia="ru-RU"/>
              </w:rPr>
              <w:t>2023</w:t>
            </w:r>
          </w:p>
        </w:tc>
      </w:tr>
      <w:tr>
        <w:trPr>
          <w:trHeight w:val="589" w:hRule="atLeast"/>
        </w:trPr>
        <w:tc>
          <w:tcPr>
            <w:tcW w:w="20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Завдання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Створити умови для повного охоплення дітей п'ятирічного віку всіма формами дошкільної освіти, сприяти розвитку та вдосконаленню  освітньо-виховної та управлінської діяльності в закладах дошкільної освіти</w:t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1122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Витрати на створення груп короткотривалого перебування у функціонуючих закладах освіти, додаткових груп та місць у фунціонуючих закладах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20000,0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20000,00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Витарти на модернізацію освітньо-виховної та управлінської діяльності в закладах дошкільної освіти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20000,0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10000,0</w:t>
            </w:r>
          </w:p>
        </w:tc>
      </w:tr>
      <w:tr>
        <w:trPr>
          <w:trHeight w:val="550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Кількість заходів,що направлені</w:t>
            </w:r>
            <w:r>
              <w:rPr>
                <w:rFonts w:eastAsia="Calibri" w:cs="Times New Roman" w:ascii="Times New Roman" w:hAnsi="Times New Roman"/>
                <w:lang w:val="ru-RU"/>
              </w:rPr>
              <w:t xml:space="preserve"> на сприяння розвитку та вдосконаленню  освітньо-виховної та управлінської діяльності в закладах дошкільної освіти</w:t>
            </w:r>
            <w:r>
              <w:rPr>
                <w:rFonts w:eastAsia="Calibri" w:cs="Times New Roman" w:ascii="Times New Roman" w:hAnsi="Times New Roman"/>
                <w:lang w:val="uk-UA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осіб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4</w:t>
            </w:r>
          </w:p>
        </w:tc>
      </w:tr>
      <w:tr>
        <w:trPr>
          <w:trHeight w:val="550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  <w:r>
        <w:br w:type="page"/>
      </w:r>
    </w:p>
    <w:tbl>
      <w:tblPr>
        <w:tblpPr w:vertAnchor="text" w:horzAnchor="margin" w:tblpXSpec="center" w:leftFromText="180" w:rightFromText="180" w:tblpY="139"/>
        <w:tblW w:w="130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042"/>
        <w:gridCol w:w="3637"/>
        <w:gridCol w:w="1042"/>
        <w:gridCol w:w="1959"/>
        <w:gridCol w:w="1503"/>
        <w:gridCol w:w="1647"/>
        <w:gridCol w:w="1211"/>
      </w:tblGrid>
      <w:tr>
        <w:trPr>
          <w:trHeight w:val="550" w:hRule="atLeast"/>
        </w:trPr>
        <w:tc>
          <w:tcPr>
            <w:tcW w:w="204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Витрати на один захід, що направлений сприяння розвитку та вдосконаленню  освітньо-виховної та управлінської діяльності в закладах дошкільної освіти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2500,0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2500,0</w:t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Показник якості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Забезпечення педагогічних працівників закладів дошкільної освіти потреби у підвищенні кваліфікації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</w:t>
            </w:r>
          </w:p>
        </w:tc>
      </w:tr>
      <w:tr>
        <w:trPr>
          <w:trHeight w:val="1268" w:hRule="atLeast"/>
        </w:trPr>
        <w:tc>
          <w:tcPr>
            <w:tcW w:w="204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Завдання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Створити умови для оптимізації мережі закладів освіти і виховання, підвищення рівня навчання дітей і молоді, підвищення професійного рівня педагогічних працівників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1140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Витарти на створення умов для оптимізації мережі закладів освіти і виховання, підвищення рівня навчання дітей і молоді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225000,00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80000,00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20000,00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135000,0</w:t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Кількість закладів загальної середньої освіти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од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17</w:t>
            </w:r>
          </w:p>
        </w:tc>
      </w:tr>
      <w:tr>
        <w:trPr>
          <w:trHeight w:val="550" w:hRule="atLeast"/>
        </w:trPr>
        <w:tc>
          <w:tcPr>
            <w:tcW w:w="2042" w:type="dxa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283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Витрати на один заклад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4706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1176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7941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Охоплення дітей середньою загальною освітою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%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</w:t>
            </w:r>
          </w:p>
        </w:tc>
      </w:tr>
      <w:tr>
        <w:trPr>
          <w:trHeight w:val="443" w:hRule="atLeast"/>
        </w:trPr>
        <w:tc>
          <w:tcPr>
            <w:tcW w:w="204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Завдання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Створити умови для забезпечення якісною позашкільною освітою</w:t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42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Витрати на забезпечення функціонування гуртків, секцій, участі у конкурсах,проведення дитячих позашкільних заходів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674000,00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279000,00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140000,0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100000,0</w:t>
            </w:r>
          </w:p>
        </w:tc>
      </w:tr>
      <w:tr>
        <w:trPr>
          <w:trHeight w:val="443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 xml:space="preserve">Показник продукту 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42" w:hRule="atLeast"/>
        </w:trPr>
        <w:tc>
          <w:tcPr>
            <w:tcW w:w="204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Кількість дітей, охоплених позашкільною освітою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осіб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485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465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500</w:t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Витарти на одну дитину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грн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575,25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301,1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200</w:t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550" w:hRule="atLeast"/>
        </w:trPr>
        <w:tc>
          <w:tcPr>
            <w:tcW w:w="20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  <w:tc>
          <w:tcPr>
            <w:tcW w:w="3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Відсоток дітей, охоплених позашкільною освітою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%</w:t>
            </w:r>
          </w:p>
        </w:tc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lang w:val="uk-UA"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50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50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lang w:val="ru-RU" w:eastAsia="ru-RU"/>
              </w:rPr>
              <w:t>65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uk-UA" w:eastAsia="ru-RU"/>
        </w:rPr>
      </w:r>
    </w:p>
    <w:sectPr>
      <w:type w:val="nextPage"/>
      <w:pgSz w:orient="landscape" w:w="15840" w:h="12240"/>
      <w:pgMar w:left="1134" w:right="1276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2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15bf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d55bb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d0075"/>
    <w:rPr/>
  </w:style>
  <w:style w:type="character" w:styleId="Style16" w:customStyle="1">
    <w:name w:val="Нижний колонтитул Знак"/>
    <w:basedOn w:val="DefaultParagraphFont"/>
    <w:uiPriority w:val="99"/>
    <w:qFormat/>
    <w:rsid w:val="009d0075"/>
    <w:rPr/>
  </w:style>
  <w:style w:type="character" w:styleId="Style17" w:customStyle="1">
    <w:name w:val="Основной текст Знак"/>
    <w:basedOn w:val="DefaultParagraphFont"/>
    <w:qFormat/>
    <w:rsid w:val="00681441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rsid w:val="0068144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e2502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d55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d0075"/>
    <w:pPr>
      <w:tabs>
        <w:tab w:val="clear" w:pos="720"/>
        <w:tab w:val="center" w:pos="4986" w:leader="none"/>
        <w:tab w:val="right" w:pos="9973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9d0075"/>
    <w:pPr>
      <w:tabs>
        <w:tab w:val="clear" w:pos="720"/>
        <w:tab w:val="center" w:pos="4986" w:leader="none"/>
        <w:tab w:val="right" w:pos="9973" w:leader="none"/>
      </w:tabs>
      <w:spacing w:lineRule="auto" w:line="240" w:before="0" w:after="0"/>
    </w:pPr>
    <w:rPr/>
  </w:style>
  <w:style w:type="paragraph" w:styleId="Style21">
    <w:name w:val="Вміст рамки"/>
    <w:basedOn w:val="Normal"/>
    <w:qFormat/>
    <w:pPr/>
    <w:rPr/>
  </w:style>
  <w:style w:type="numbering" w:styleId="Style22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4770-pro-vnesennia-zmin-do-risennia-rozdilnianskoyi-miskoyi-radi-vid-22-kvitnia-2021-roku-694-viii-pro-zatverdzennia-programi-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0ED1-798F-4090-AE36-7DA66C07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LibreOffice/25.8.2.2$Windows_x86 LibreOffice_project/d401f2107ccab8f924a8e2df40f573aab7605b6f</Application>
  <AppVersion>15.0000</AppVersion>
  <Pages>13</Pages>
  <Words>1533</Words>
  <Characters>10732</Characters>
  <CharactersWithSpaces>12337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2022-11-24T16:09:00Z</dcterms:created>
  <dc:creator>User</dc:creator>
  <dc:description/>
  <dc:language>uk-UA</dc:language>
  <cp:lastModifiedBy/>
  <cp:lastPrinted>2022-12-06T09:15:00Z</cp:lastPrinted>
  <dcterms:modified xsi:type="dcterms:W3CDTF">2025-11-26T07:44:26Z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