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firstLine="573" w:start="4956"/>
        <w:jc w:val="both"/>
        <w:textAlignment w:val="baseline"/>
        <w:rPr/>
      </w:pPr>
      <w:r>
        <w:rPr>
          <w:b/>
          <w:bCs/>
          <w:color w:val="000000"/>
          <w:lang w:val="uk-UA"/>
        </w:rPr>
        <w:t>Додаток 1</w:t>
      </w:r>
    </w:p>
    <w:p>
      <w:pPr>
        <w:pStyle w:val="Normal"/>
        <w:shd w:val="clear" w:color="auto" w:fill="FFFFFF"/>
        <w:ind w:firstLine="573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 Програми</w:t>
      </w:r>
    </w:p>
    <w:p>
      <w:pPr>
        <w:pStyle w:val="Normal"/>
        <w:shd w:val="clear" w:color="auto" w:fill="FFFFFF"/>
        <w:ind w:firstLine="573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(в редакції рішення міської ради</w:t>
      </w:r>
    </w:p>
    <w:p>
      <w:pPr>
        <w:pStyle w:val="Normal"/>
        <w:shd w:val="clear" w:color="auto" w:fill="FFFFFF"/>
        <w:ind w:firstLine="573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01 грудня 2022 року</w:t>
      </w:r>
    </w:p>
    <w:p>
      <w:pPr>
        <w:pStyle w:val="Normal"/>
        <w:shd w:val="clear" w:color="auto" w:fill="FFFFFF"/>
        <w:ind w:firstLine="703" w:start="4826"/>
        <w:jc w:val="both"/>
        <w:textAlignment w:val="baseline"/>
        <w:rPr>
          <w:lang w:val="uk-UA"/>
        </w:rPr>
      </w:pPr>
      <w:r>
        <w:rPr>
          <w:bCs/>
          <w:color w:val="000000"/>
          <w:lang w:val="uk-UA"/>
        </w:rPr>
        <w:t>№</w:t>
      </w:r>
      <w:hyperlink r:id="rId2">
        <w:r>
          <w:rPr>
            <w:rStyle w:val="Hyperlink"/>
            <w:lang w:val="uk-UA"/>
          </w:rPr>
          <w:t>2791-VIIІ</w:t>
        </w:r>
      </w:hyperlink>
      <w:r>
        <w:rPr>
          <w:lang w:val="uk-UA"/>
        </w:rPr>
        <w:t>)</w:t>
      </w:r>
    </w:p>
    <w:p>
      <w:pPr>
        <w:pStyle w:val="Normal"/>
        <w:shd w:val="clear" w:color="auto" w:fill="FFFFFF"/>
        <w:ind w:firstLine="703" w:start="4826"/>
        <w:jc w:val="both"/>
        <w:textAlignment w:val="baseline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0"/>
        <w:ind w:start="36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uk-UA" w:eastAsia="en-US"/>
        </w:rPr>
        <w:t>ПАСПОРТ</w:t>
      </w:r>
    </w:p>
    <w:p>
      <w:pPr>
        <w:pStyle w:val="Normal"/>
        <w:spacing w:before="0" w:after="0"/>
        <w:ind w:start="360"/>
        <w:contextualSpacing/>
        <w:jc w:val="center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міської соціальної програми «Милосердя в дії» на 2022-2024 роки (нова редакція)</w:t>
      </w:r>
    </w:p>
    <w:tbl>
      <w:tblPr>
        <w:tblpPr w:vertAnchor="text" w:horzAnchor="margin" w:tblpXSpec="center" w:leftFromText="180" w:rightFromText="180" w:tblpY="250"/>
        <w:tblW w:w="1020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727"/>
        <w:gridCol w:w="3435"/>
        <w:gridCol w:w="6043"/>
      </w:tblGrid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18" w:start="-1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Назва Програми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Міська соціальна програма «Милосердя в дії» на 2022-2024 роки (нова редакція)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18" w:start="-1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Підстави для розробки</w:t>
            </w:r>
            <w:r>
              <w:rPr>
                <w:lang w:val="uk-UA"/>
              </w:rPr>
              <w:t xml:space="preserve"> /Дата,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 України «Про основи соціальної захищеності осіб з інвалідністю в Україні» від 21.03.1991 року № 875-XII, Закону України від 22.10.93 р. № 3551-XII «Про статус ветеранів війни, гарантії їх соціального статусу», Закон України «Про охорону дитинства» від 26.04.2001 року №2402-III, Закон України “Про основні засади соціального захисту ветеранів праці та інших громадян похилого віку в Україні” Закон України «Про статус і соціальний захист громадян, які постраждали внаслідок Чорнобильської катастрофи» від 28.02.1991 року №796- XII,</w:t>
            </w:r>
            <w:r>
              <w:rPr>
                <w:lang w:val="uk-UA" w:eastAsia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Закон України «Про поховання та похоронну справу», Закон України  від 20.12.1991 року № 2012-XII (зі змінами)  «Про соціальний і правовий захист військовослужбовців та членів їх сімей», Закон України «Про затвердження Указ Президента України « Про введення воєнного стану в Україні» № 2102- </w:t>
            </w:r>
            <w:r>
              <w:rPr>
                <w:color w:val="000000"/>
                <w:lang w:val="en-US"/>
              </w:rPr>
              <w:t>IX</w:t>
            </w:r>
            <w:r>
              <w:rPr>
                <w:color w:val="000000"/>
                <w:lang w:val="uk-UA"/>
              </w:rPr>
              <w:t xml:space="preserve"> від 24.02.2022 року, Наказ Міністерства Оборони України № 185 від 05.06.2021(зі змінами) «Інструкція про організацію поховання військовослужбовців, які загинули (померли) під час проходження військової служби», Бюджетний кодекс України.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Спів розробники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>
        <w:trPr/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 соціальної політики Роздільнянської міської ради;</w:t>
            </w:r>
            <w:r>
              <w:rPr>
                <w:lang w:val="uk-UA" w:eastAsia="uk-UA"/>
              </w:rPr>
              <w:t xml:space="preserve"> </w:t>
            </w:r>
            <w:r>
              <w:rPr>
                <w:color w:val="000000"/>
                <w:lang w:val="uk-UA"/>
              </w:rPr>
              <w:t>КП  «Роздільнянський міський водоканал»,           КП« Мрія», КП « Виноградарське».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lang w:val="uk-UA"/>
              </w:rPr>
              <w:t>Організації-співвиконавці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Мета 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кількості та якості соціальних послуг, поступове створення умов для подолання бідності незахищених верств населення, поліпшення життєзабезпечення осіб, що потребують соціального захисту</w:t>
            </w:r>
          </w:p>
        </w:tc>
      </w:tr>
      <w:tr>
        <w:trPr>
          <w:trHeight w:val="621" w:hRule="atLeast"/>
        </w:trPr>
        <w:tc>
          <w:tcPr>
            <w:tcW w:w="7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34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60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2022-2024 роки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2804,662 </w:t>
            </w:r>
            <w:r>
              <w:rPr>
                <w:color w:val="000000"/>
                <w:lang w:val="uk-UA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всього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2804,662 </w:t>
            </w:r>
            <w:r>
              <w:rPr>
                <w:color w:val="000000"/>
                <w:lang w:val="uk-UA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10.1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кошти Державного бюджету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10.2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кошти місцевого бюджету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2804,662 </w:t>
            </w:r>
            <w:r>
              <w:rPr>
                <w:color w:val="000000"/>
                <w:lang w:val="uk-UA"/>
              </w:rPr>
              <w:t>тис. грн.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10.3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кошти інших джерел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Надання різних видів допомоги та соціальних послуг малозабезпеченим верстам населення.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Постійна комісія   з питань соціального захисту населення, молодіжної політики, охорони здоров’я , освіти, підтримки  культури та спорту.</w:t>
            </w:r>
          </w:p>
        </w:tc>
      </w:tr>
    </w:tbl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jc w:val="end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</w:r>
    </w:p>
    <w:p>
      <w:pPr>
        <w:pStyle w:val="Normal"/>
        <w:shd w:val="clear" w:color="auto" w:fill="FFFFFF"/>
        <w:ind w:firstLine="998" w:start="4956"/>
        <w:jc w:val="both"/>
        <w:textAlignment w:val="baseline"/>
        <w:rPr>
          <w:b/>
          <w:bCs/>
        </w:rPr>
      </w:pPr>
      <w:r>
        <w:rPr>
          <w:b/>
          <w:bCs/>
          <w:color w:val="000000"/>
          <w:lang w:val="uk-UA"/>
        </w:rPr>
        <w:t>Додаток 3</w:t>
      </w:r>
    </w:p>
    <w:p>
      <w:pPr>
        <w:pStyle w:val="Normal"/>
        <w:shd w:val="clear" w:color="auto" w:fill="FFFFFF"/>
        <w:ind w:firstLine="998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 Програми</w:t>
      </w:r>
    </w:p>
    <w:p>
      <w:pPr>
        <w:pStyle w:val="Normal"/>
        <w:shd w:val="clear" w:color="auto" w:fill="FFFFFF"/>
        <w:ind w:firstLine="998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(в редакції рішення міської ради</w:t>
      </w:r>
    </w:p>
    <w:p>
      <w:pPr>
        <w:pStyle w:val="Normal"/>
        <w:shd w:val="clear" w:color="auto" w:fill="FFFFFF"/>
        <w:ind w:firstLine="998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01 грудня 2022 року</w:t>
      </w:r>
    </w:p>
    <w:p>
      <w:pPr>
        <w:pStyle w:val="Normal"/>
        <w:shd w:val="clear" w:color="auto" w:fill="FFFFFF"/>
        <w:ind w:firstLine="998" w:start="4956"/>
        <w:jc w:val="both"/>
        <w:textAlignment w:val="baseline"/>
        <w:rPr>
          <w:lang w:val="uk-UA"/>
        </w:rPr>
      </w:pPr>
      <w:r>
        <w:rPr>
          <w:bCs/>
          <w:color w:val="000000"/>
          <w:lang w:val="uk-UA"/>
        </w:rPr>
        <w:t>№</w:t>
      </w:r>
      <w:r>
        <w:rPr>
          <w:lang w:val="uk-UA"/>
        </w:rPr>
        <w:t>2791-VIIІ)</w:t>
      </w:r>
    </w:p>
    <w:p>
      <w:pPr>
        <w:pStyle w:val="Normal"/>
        <w:ind w:firstLine="708"/>
        <w:jc w:val="both"/>
        <w:rPr>
          <w:rFonts w:ascii="TimesNewRomanPSMT" w:hAnsi="TimesNewRomanPSMT" w:eastAsia="Calibri"/>
          <w:color w:val="000000"/>
          <w:lang w:val="uk-UA" w:eastAsia="en-US"/>
        </w:rPr>
      </w:pPr>
      <w:r>
        <w:rPr>
          <w:rFonts w:eastAsia="Calibri" w:ascii="TimesNewRomanPSMT" w:hAnsi="TimesNewRomanPSMT"/>
          <w:color w:val="000000"/>
          <w:lang w:val="uk-UA" w:eastAsia="en-US"/>
        </w:rPr>
      </w:r>
    </w:p>
    <w:p>
      <w:pPr>
        <w:pStyle w:val="Normal"/>
        <w:ind w:firstLine="708"/>
        <w:jc w:val="both"/>
        <w:rPr>
          <w:rFonts w:ascii="TimesNewRomanPSMT" w:hAnsi="TimesNewRomanPSMT" w:eastAsia="Calibri"/>
          <w:color w:val="000000"/>
          <w:lang w:val="uk-UA" w:eastAsia="en-US"/>
        </w:rPr>
      </w:pPr>
      <w:r>
        <w:rPr>
          <w:rFonts w:eastAsia="Calibri" w:ascii="TimesNewRomanPSMT" w:hAnsi="TimesNewRomanPSMT"/>
          <w:color w:val="000000"/>
          <w:lang w:val="uk-UA" w:eastAsia="en-US"/>
        </w:rPr>
      </w:r>
    </w:p>
    <w:p>
      <w:pPr>
        <w:pStyle w:val="Normal"/>
        <w:ind w:firstLine="708"/>
        <w:jc w:val="center"/>
        <w:rPr>
          <w:rFonts w:ascii="TimesNewRomanPSMT" w:hAnsi="TimesNewRomanPSMT" w:eastAsia="Calibri"/>
          <w:b/>
          <w:color w:val="000000"/>
          <w:lang w:val="uk-UA" w:eastAsia="en-US"/>
        </w:rPr>
      </w:pPr>
      <w:r>
        <w:rPr>
          <w:rFonts w:eastAsia="Calibri" w:ascii="TimesNewRomanPSMT" w:hAnsi="TimesNewRomanPSMT"/>
          <w:b/>
          <w:color w:val="000000"/>
          <w:lang w:val="uk-UA" w:eastAsia="en-US"/>
        </w:rPr>
        <w:t>Ресурсне забезпечення</w:t>
      </w:r>
    </w:p>
    <w:p>
      <w:pPr>
        <w:pStyle w:val="Normal"/>
        <w:ind w:firstLine="708"/>
        <w:jc w:val="center"/>
        <w:rPr>
          <w:b/>
          <w:lang w:val="uk-UA"/>
        </w:rPr>
      </w:pPr>
      <w:r>
        <w:rPr>
          <w:b/>
          <w:lang w:val="uk-UA"/>
        </w:rPr>
        <w:t>міської соціальної програми «Милосердя в дії» на 2022-2024 роки</w:t>
      </w:r>
    </w:p>
    <w:p>
      <w:pPr>
        <w:pStyle w:val="Normal"/>
        <w:ind w:firstLine="708"/>
        <w:jc w:val="center"/>
        <w:rPr>
          <w:rFonts w:ascii="TimesNewRomanPSMT" w:hAnsi="TimesNewRomanPSMT" w:eastAsia="Calibri"/>
          <w:b/>
          <w:color w:val="000000"/>
          <w:lang w:val="uk-UA" w:eastAsia="en-US"/>
        </w:rPr>
      </w:pPr>
      <w:r>
        <w:rPr>
          <w:b/>
          <w:lang w:val="uk-UA"/>
        </w:rPr>
        <w:t>(нова редакція)</w:t>
      </w:r>
      <w:r>
        <w:rPr>
          <w:rFonts w:eastAsia="Calibri" w:ascii="TimesNewRomanPSMT" w:hAnsi="TimesNewRomanPSMT"/>
          <w:b/>
          <w:color w:val="000000"/>
          <w:lang w:val="uk-UA" w:eastAsia="en-US"/>
        </w:rPr>
        <w:t xml:space="preserve"> </w:t>
      </w:r>
    </w:p>
    <w:p>
      <w:pPr>
        <w:pStyle w:val="Normal"/>
        <w:ind w:firstLine="792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tbl>
      <w:tblPr>
        <w:tblW w:w="9640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261"/>
        <w:gridCol w:w="1559"/>
        <w:gridCol w:w="1558"/>
        <w:gridCol w:w="1306"/>
        <w:gridCol w:w="1956"/>
      </w:tblGrid>
      <w:tr>
        <w:trPr>
          <w:trHeight w:val="893" w:hRule="atLeast"/>
        </w:trPr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Джерела фінансування</w:t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Роки виконання </w:t>
            </w:r>
            <w:r>
              <w:rPr>
                <w:bCs/>
                <w:color w:val="000000"/>
                <w:lang w:val="uk-UA"/>
              </w:rPr>
              <w:t>програми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Усього обсяг фінансування</w:t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(тис. грн)</w:t>
            </w:r>
          </w:p>
        </w:tc>
      </w:tr>
      <w:tr>
        <w:trPr>
          <w:trHeight w:val="711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2024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152" w:hRule="atLeast"/>
        </w:trPr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Державний бюджет 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>
        <w:trPr>
          <w:trHeight w:val="152" w:hRule="atLeast"/>
        </w:trPr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Місцевий бюджет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1 017,4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1012,262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775,00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2804,662</w:t>
            </w:r>
          </w:p>
        </w:tc>
      </w:tr>
      <w:tr>
        <w:trPr>
          <w:trHeight w:val="252" w:hRule="atLeast"/>
        </w:trPr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>
        <w:trPr>
          <w:trHeight w:val="252" w:hRule="atLeast"/>
        </w:trPr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1 017,4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1012,262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775,00</w:t>
            </w:r>
          </w:p>
        </w:tc>
        <w:tc>
          <w:tcPr>
            <w:tcW w:w="1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2804,662</w:t>
            </w:r>
          </w:p>
        </w:tc>
      </w:tr>
    </w:tbl>
    <w:p>
      <w:pPr>
        <w:pStyle w:val="Normal"/>
        <w:ind w:firstLine="792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tabs>
          <w:tab w:val="clear" w:pos="708"/>
          <w:tab w:val="left" w:pos="915" w:leader="none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tabs>
          <w:tab w:val="clear" w:pos="708"/>
          <w:tab w:val="left" w:pos="915" w:leader="none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tabs>
          <w:tab w:val="clear" w:pos="708"/>
          <w:tab w:val="left" w:pos="915" w:leader="none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jc w:val="end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shd w:val="clear" w:color="auto" w:fill="FFFFFF"/>
        <w:ind w:start="5529"/>
        <w:jc w:val="both"/>
        <w:textAlignment w:val="baseline"/>
        <w:rPr>
          <w:b/>
          <w:bCs/>
        </w:rPr>
      </w:pPr>
      <w:r>
        <w:rPr>
          <w:b/>
          <w:bCs/>
          <w:color w:val="000000"/>
          <w:lang w:val="uk-UA"/>
        </w:rPr>
        <w:t>Додаток 4</w:t>
      </w:r>
    </w:p>
    <w:p>
      <w:pPr>
        <w:pStyle w:val="Normal"/>
        <w:shd w:val="clear" w:color="auto" w:fill="FFFFFF"/>
        <w:ind w:firstLine="6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</w:t>
      </w:r>
      <w:r>
        <w:rPr>
          <w:bCs/>
          <w:color w:val="000000"/>
          <w:lang w:val="uk-UA"/>
        </w:rPr>
        <w:t>до Програми</w:t>
      </w:r>
    </w:p>
    <w:p>
      <w:pPr>
        <w:pStyle w:val="Normal"/>
        <w:shd w:val="clear" w:color="auto" w:fill="FFFFFF"/>
        <w:ind w:firstLine="6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</w:t>
      </w:r>
      <w:r>
        <w:rPr>
          <w:bCs/>
          <w:color w:val="000000"/>
          <w:lang w:val="uk-UA"/>
        </w:rPr>
        <w:t>(в редакції рішення міської ради</w:t>
      </w:r>
    </w:p>
    <w:p>
      <w:pPr>
        <w:pStyle w:val="Normal"/>
        <w:shd w:val="clear" w:color="auto" w:fill="FFFFFF"/>
        <w:ind w:firstLine="6" w:start="4956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</w:t>
      </w:r>
      <w:r>
        <w:rPr>
          <w:bCs/>
          <w:color w:val="000000"/>
          <w:lang w:val="uk-UA"/>
        </w:rPr>
        <w:t>01 грудня 2022 року</w:t>
      </w:r>
    </w:p>
    <w:p>
      <w:pPr>
        <w:pStyle w:val="Normal"/>
        <w:shd w:val="clear" w:color="auto" w:fill="FFFFFF"/>
        <w:ind w:firstLine="6" w:start="4956"/>
        <w:jc w:val="both"/>
        <w:textAlignment w:val="baseline"/>
        <w:rPr>
          <w:lang w:val="uk-UA"/>
        </w:rPr>
      </w:pPr>
      <w:r>
        <w:rPr>
          <w:bCs/>
          <w:color w:val="000000"/>
          <w:lang w:val="uk-UA"/>
        </w:rPr>
        <w:t xml:space="preserve">          №</w:t>
      </w:r>
      <w:r>
        <w:rPr>
          <w:lang w:val="uk-UA"/>
        </w:rPr>
        <w:t>2791-VIIІ)</w:t>
      </w:r>
    </w:p>
    <w:p>
      <w:pPr>
        <w:pStyle w:val="Normal"/>
        <w:jc w:val="end"/>
        <w:rPr>
          <w:b/>
          <w:bCs/>
          <w:i/>
          <w:i/>
          <w:lang w:val="uk-UA"/>
        </w:rPr>
      </w:pPr>
      <w:r>
        <w:rPr>
          <w:b/>
          <w:bCs/>
          <w:i/>
          <w:lang w:val="uk-UA"/>
        </w:rPr>
        <w:t xml:space="preserve"> 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Очікувані кінцеві результати виконання</w:t>
      </w:r>
    </w:p>
    <w:p>
      <w:pPr>
        <w:pStyle w:val="Normal"/>
        <w:ind w:firstLine="708"/>
        <w:jc w:val="center"/>
        <w:rPr>
          <w:rFonts w:ascii="TimesNewRomanPSMT" w:hAnsi="TimesNewRomanPSMT" w:eastAsia="Calibri"/>
          <w:b/>
          <w:color w:val="000000"/>
          <w:sz w:val="28"/>
          <w:szCs w:val="28"/>
          <w:lang w:val="uk-UA" w:eastAsia="en-US"/>
        </w:rPr>
      </w:pPr>
      <w:r>
        <w:rPr>
          <w:b/>
          <w:lang w:val="uk-UA"/>
        </w:rPr>
        <w:t>міської соціальної програми «Милосердя в дії» на 2022-2024 роки</w:t>
      </w:r>
      <w:r>
        <w:rPr>
          <w:rFonts w:eastAsia="Calibri" w:ascii="TimesNewRomanPSMT" w:hAnsi="TimesNewRomanPSMT"/>
          <w:b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Calibri" w:ascii="TimesNewRomanPSMT" w:hAnsi="TimesNewRomanPSMT"/>
          <w:b/>
          <w:color w:val="000000"/>
          <w:lang w:val="uk-UA" w:eastAsia="en-US"/>
        </w:rPr>
        <w:t>(нова редакція)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</w:r>
    </w:p>
    <w:tbl>
      <w:tblPr>
        <w:tblW w:w="10647" w:type="dxa"/>
        <w:jc w:val="start"/>
        <w:tblInd w:w="-90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525"/>
        <w:gridCol w:w="1779"/>
        <w:gridCol w:w="772"/>
        <w:gridCol w:w="1277"/>
        <w:gridCol w:w="1750"/>
        <w:gridCol w:w="1842"/>
        <w:gridCol w:w="1702"/>
      </w:tblGrid>
      <w:tr>
        <w:trPr/>
        <w:tc>
          <w:tcPr>
            <w:tcW w:w="15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</w:t>
            </w:r>
          </w:p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</w:t>
            </w:r>
          </w:p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Одиниця</w:t>
            </w:r>
          </w:p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виміру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Значення показника</w:t>
            </w:r>
          </w:p>
        </w:tc>
      </w:tr>
      <w:tr>
        <w:trPr/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529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за роками</w:t>
            </w:r>
          </w:p>
        </w:tc>
      </w:tr>
      <w:tr>
        <w:trPr/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</w:tr>
      <w:tr>
        <w:trPr/>
        <w:tc>
          <w:tcPr>
            <w:tcW w:w="15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Завдання 1</w:t>
            </w:r>
          </w:p>
          <w:p>
            <w:pPr>
              <w:pStyle w:val="Normal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Надання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цільової адресної допомоги 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Матеріальна допомога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2 322 262,00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785000,00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812262,00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725000,00</w:t>
            </w:r>
          </w:p>
        </w:tc>
      </w:tr>
      <w:tr>
        <w:trPr/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чисельність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населення громади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32856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32856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32856</w:t>
            </w:r>
          </w:p>
        </w:tc>
      </w:tr>
      <w:tr>
        <w:trPr/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Показник продукту 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отримувачів послуг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205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Показник</w:t>
            </w:r>
          </w:p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Ефективності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затрати на 1 послугу 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3829,27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3249,05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3536,59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Охоплення  окремих пільгових категорій осіб до загальної чисельності населення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0,62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0,76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0,62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Завдання 2</w:t>
            </w:r>
          </w:p>
          <w:p>
            <w:pPr>
              <w:pStyle w:val="Normal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Надання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цільової адресної допомоги 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Відшкодування виплат на поховання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482 400,00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232 400,00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200000,00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50000,0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чисельність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населення громади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32856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32856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32856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Показник продукту 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звернень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Показник</w:t>
            </w:r>
          </w:p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Ефективності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затрати на 1 послугу 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19366,67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20000,00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5000,00</w:t>
            </w:r>
          </w:p>
        </w:tc>
      </w:tr>
      <w:tr>
        <w:trPr>
          <w:trHeight w:val="550" w:hRule="atLeast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Охоплення  окремих пільгових категорій осіб до загальної чисельності населення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15" w:leader="none"/>
        </w:tabs>
        <w:jc w:val="both"/>
        <w:rPr>
          <w:color w:val="000000"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firstLine="709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hd w:val="clear" w:color="auto" w:fill="FFFFFF"/>
        <w:ind w:firstLine="708" w:start="9912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</w:r>
    </w:p>
    <w:p>
      <w:pPr>
        <w:pStyle w:val="Normal"/>
        <w:shd w:val="clear" w:color="auto" w:fill="FFFFFF"/>
        <w:ind w:firstLine="708" w:start="9912"/>
        <w:jc w:val="both"/>
        <w:textAlignment w:val="baseline"/>
        <w:rPr>
          <w:b/>
          <w:bCs/>
        </w:rPr>
      </w:pPr>
      <w:r>
        <w:rPr>
          <w:b/>
          <w:bCs/>
          <w:color w:val="000000"/>
          <w:lang w:val="uk-UA"/>
        </w:rPr>
        <w:t>Додаток 2</w:t>
      </w:r>
    </w:p>
    <w:p>
      <w:pPr>
        <w:pStyle w:val="Normal"/>
        <w:shd w:val="clear" w:color="auto" w:fill="FFFFFF"/>
        <w:ind w:firstLine="708" w:start="9912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 Програми</w:t>
      </w:r>
    </w:p>
    <w:p>
      <w:pPr>
        <w:pStyle w:val="Normal"/>
        <w:shd w:val="clear" w:color="auto" w:fill="FFFFFF"/>
        <w:ind w:start="10620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(в редакції рішення міської ради</w:t>
      </w:r>
    </w:p>
    <w:p>
      <w:pPr>
        <w:pStyle w:val="Normal"/>
        <w:shd w:val="clear" w:color="auto" w:fill="FFFFFF"/>
        <w:ind w:firstLine="708" w:start="9912"/>
        <w:jc w:val="both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01 грудня 2022 року</w:t>
      </w:r>
    </w:p>
    <w:p>
      <w:pPr>
        <w:pStyle w:val="Normal"/>
        <w:shd w:val="clear" w:color="auto" w:fill="FFFFFF"/>
        <w:ind w:firstLine="708" w:start="9912"/>
        <w:jc w:val="both"/>
        <w:textAlignment w:val="baseline"/>
        <w:rPr>
          <w:lang w:val="uk-UA"/>
        </w:rPr>
      </w:pPr>
      <w:r>
        <w:rPr>
          <w:bCs/>
          <w:color w:val="000000"/>
          <w:lang w:val="uk-UA"/>
        </w:rPr>
        <w:t>№</w:t>
      </w:r>
      <w:r>
        <w:rPr>
          <w:lang w:val="uk-UA"/>
        </w:rPr>
        <w:t>2796-VIIІ)</w:t>
      </w:r>
    </w:p>
    <w:p>
      <w:pPr>
        <w:pStyle w:val="Normal"/>
        <w:shd w:val="clear" w:color="auto" w:fill="FFFFFF"/>
        <w:ind w:firstLine="708" w:start="9912"/>
        <w:jc w:val="both"/>
        <w:textAlignment w:val="baseline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Напрями діяльності та заходи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міської соціальної програми «Милосердя в дії» на 2022-2024 роки (нова редакція)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tbl>
      <w:tblPr>
        <w:tblW w:w="1540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88"/>
        <w:gridCol w:w="32"/>
        <w:gridCol w:w="106"/>
        <w:gridCol w:w="1420"/>
        <w:gridCol w:w="2869"/>
        <w:gridCol w:w="1185"/>
        <w:gridCol w:w="2430"/>
        <w:gridCol w:w="1425"/>
        <w:gridCol w:w="1020"/>
        <w:gridCol w:w="1020"/>
        <w:gridCol w:w="915"/>
        <w:gridCol w:w="1065"/>
        <w:gridCol w:w="1530"/>
      </w:tblGrid>
      <w:tr>
        <w:trPr/>
        <w:tc>
          <w:tcPr>
            <w:tcW w:w="52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№  </w:t>
            </w:r>
            <w:r>
              <w:rPr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Перелік заходів програм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Строк виконання заходів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Орієнтовані обсяги фінансування (вартість), тис. гривень, у тому числі: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>
        <w:trPr/>
        <w:tc>
          <w:tcPr>
            <w:tcW w:w="52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8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4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  <w:tr>
        <w:trPr/>
        <w:tc>
          <w:tcPr>
            <w:tcW w:w="15405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 xml:space="preserve">                                                                    </w:t>
            </w:r>
            <w:r>
              <w:rPr>
                <w:rFonts w:eastAsia="Calibri"/>
                <w:b/>
                <w:lang w:val="uk-UA"/>
              </w:rPr>
              <w:t xml:space="preserve">1.Надання цільової адресної допомоги </w:t>
            </w:r>
          </w:p>
        </w:tc>
      </w:tr>
      <w:tr>
        <w:trPr/>
        <w:tc>
          <w:tcPr>
            <w:tcW w:w="3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1.Надавати цільову адресну допомогу</w:t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1.1. Надання матеріальної допомоги на лікування та вирішення соціально-побутових питань мешканців громади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2022- 2024 роки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 соціальної політики Роздільнянської міської ради.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550,00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681,262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550,00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1650,00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зниження соціальної напруги серед пільгової категорії громадян , мешканців Роздільнянської міської територіальної громади.</w:t>
            </w:r>
          </w:p>
        </w:tc>
      </w:tr>
      <w:tr>
        <w:trPr/>
        <w:tc>
          <w:tcPr>
            <w:tcW w:w="3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58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1.2.Надання матеріальної допомоги учасникам бойових дій на території України, </w:t>
            </w:r>
            <w:r>
              <w:rPr>
                <w:bCs/>
                <w:iCs/>
                <w:sz w:val="20"/>
                <w:szCs w:val="20"/>
                <w:lang w:val="uk-UA"/>
              </w:rPr>
              <w:t>учасникам бойових дій, які приймали безпосередню участь у операції об’єднаних сил(ООС), членам сімей учасників бойових дій на території України,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uk-UA"/>
              </w:rPr>
              <w:t>які загинули (померли)під час захисту Батьківщини , учасників АТО/ООС, які загинули (померли) під час проведення антитерористичної операції,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uk-UA"/>
              </w:rPr>
              <w:t>вдовам  учасників бойових дій  та інвалідів Другої Світової Війни та членам сімей працівників органів внутрішніх справ загиблих під час виконання  службових обов’язків.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2022- 2024 роки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 соціальної політики Роздільнянської міської ради.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280,00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58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1.3 Надання матеріальної допомоги ветеранам Афганської війни та членам сімей загиблих учасників бойових дій Афганської війни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2022- 2024 роки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 соціальної політики Роздільнянської міської ради.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58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1.4 Вшанування пам’ятної дати</w:t>
            </w:r>
            <w:r>
              <w:rPr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Чорнобильської катастрофи, надання матеріальної допомоги ліквідаторам  ЧАЕС 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2022- 2024 роки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 соціальної політики Роздільнянської міської ради.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58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1.5. Надання матеріальної допомоги на поховання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2022- 2024 роки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 соціальної політики Роздільнянської міської ради.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9855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785,00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812,262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725,00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2322,262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15405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 Відшкодування витрат на поховання</w:t>
            </w:r>
          </w:p>
        </w:tc>
      </w:tr>
      <w:tr>
        <w:trPr/>
        <w:tc>
          <w:tcPr>
            <w:tcW w:w="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2.Врегулювати питання</w:t>
            </w:r>
            <w:r>
              <w:rPr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щодо порядку 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поховання </w:t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2.1.Відшкодування витрат на поховання померлих одиноких громадян; осіб без певного місця проживання, громадян, від поховання яких відмовилися рідні; знайдених невпізнаних трупів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2022- 2024 роки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 соціальної політики Роздільнянської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КП  «Роздільнянський міський водоканал»,           КП« Мрія», </w:t>
            </w:r>
          </w:p>
          <w:p>
            <w:pPr>
              <w:pStyle w:val="Normal"/>
              <w:tabs>
                <w:tab w:val="clear" w:pos="708"/>
                <w:tab w:val="left" w:pos="9720" w:leader="none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КП«Виноградарське».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49,90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149,90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врегулювання питань  порядку 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поховання одиноких громадян</w:t>
            </w:r>
          </w:p>
        </w:tc>
      </w:tr>
      <w:tr>
        <w:trPr/>
        <w:tc>
          <w:tcPr>
            <w:tcW w:w="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2.2Відшкодування витрат на організацію поховання військовослужбовців, які загинули (померли) під час проходження військової служби.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 «Роздільнянський міський водоканал»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міської ТГ, державний бюджет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182,50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332,50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вшанування та гідного поховання військовослужбовця</w:t>
            </w:r>
          </w:p>
        </w:tc>
      </w:tr>
      <w:tr>
        <w:trPr/>
        <w:tc>
          <w:tcPr>
            <w:tcW w:w="9855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232,40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482,40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9855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1 017,4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1012,262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775,00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2804,662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NewRomanPSMT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Heading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54de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cb4535"/>
    <w:pPr>
      <w:keepNext w:val="true"/>
      <w:numPr>
        <w:ilvl w:val="0"/>
        <w:numId w:val="1"/>
      </w:numPr>
      <w:suppressAutoHyphens w:val="true"/>
      <w:outlineLvl w:val="0"/>
    </w:pPr>
    <w:rPr>
      <w:rFonts w:ascii="Arial" w:hAnsi="Arial"/>
      <w:b/>
      <w:sz w:val="22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cb4535"/>
    <w:rPr>
      <w:rFonts w:ascii="Arial" w:hAnsi="Arial" w:cs="Times New Roman"/>
      <w:b/>
      <w:sz w:val="20"/>
      <w:szCs w:val="20"/>
      <w:lang w:eastAsia="ar-SA" w:bidi="ar-SA"/>
    </w:rPr>
  </w:style>
  <w:style w:type="character" w:styleId="Style13" w:customStyle="1">
    <w:name w:val="Основной текст Знак"/>
    <w:uiPriority w:val="99"/>
    <w:qFormat/>
    <w:locked/>
    <w:rsid w:val="00bb54de"/>
    <w:rPr>
      <w:rFonts w:ascii="Times New Roman" w:hAnsi="Times New Roman" w:cs="Times New Roman"/>
      <w:i/>
      <w:iCs/>
      <w:sz w:val="24"/>
      <w:szCs w:val="24"/>
      <w:lang w:val="uk-UA" w:eastAsia="ru-RU"/>
    </w:rPr>
  </w:style>
  <w:style w:type="character" w:styleId="Style14" w:customStyle="1">
    <w:name w:val="Основной текст с отступом Знак"/>
    <w:uiPriority w:val="99"/>
    <w:semiHidden/>
    <w:qFormat/>
    <w:locked/>
    <w:rsid w:val="00cb4535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link w:val="BalloonText"/>
    <w:uiPriority w:val="99"/>
    <w:semiHidden/>
    <w:qFormat/>
    <w:rsid w:val="009a1901"/>
    <w:rPr>
      <w:rFonts w:ascii="Segoe UI" w:hAnsi="Segoe UI" w:eastAsia="Times New Roman" w:cs="Segoe UI"/>
      <w:sz w:val="18"/>
      <w:szCs w:val="18"/>
    </w:rPr>
  </w:style>
  <w:style w:type="character" w:styleId="Emphasis">
    <w:name w:val="Emphasis"/>
    <w:qFormat/>
    <w:locked/>
    <w:rsid w:val="007029e7"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uiPriority w:val="99"/>
    <w:rsid w:val="00bb54de"/>
    <w:pPr>
      <w:jc w:val="center"/>
    </w:pPr>
    <w:rPr>
      <w:i/>
      <w:iCs/>
      <w:sz w:val="28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Style18" w:customStyle="1">
    <w:name w:val="Содержимое таблицы"/>
    <w:basedOn w:val="Normal"/>
    <w:uiPriority w:val="99"/>
    <w:qFormat/>
    <w:rsid w:val="00bb54de"/>
    <w:pPr>
      <w:widowControl w:val="false"/>
    </w:pPr>
    <w:rPr/>
  </w:style>
  <w:style w:type="paragraph" w:styleId="NormalWeb">
    <w:name w:val="Normal (Web)"/>
    <w:basedOn w:val="Normal"/>
    <w:uiPriority w:val="99"/>
    <w:qFormat/>
    <w:rsid w:val="00bb54de"/>
    <w:pPr>
      <w:spacing w:beforeAutospacing="1" w:afterAutospacing="1"/>
    </w:pPr>
    <w:rPr/>
  </w:style>
  <w:style w:type="paragraph" w:styleId="BodyTextIndent">
    <w:name w:val="Body Text Indent"/>
    <w:basedOn w:val="Normal"/>
    <w:link w:val="Style14"/>
    <w:uiPriority w:val="99"/>
    <w:semiHidden/>
    <w:rsid w:val="00cb4535"/>
    <w:pPr>
      <w:spacing w:before="0" w:after="120"/>
      <w:ind w:start="283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a190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6b77"/>
    <w:pPr>
      <w:spacing w:before="0" w:after="0"/>
      <w:ind w:start="720"/>
      <w:contextualSpacing/>
    </w:pPr>
    <w:rPr/>
  </w:style>
  <w:style w:type="paragraph" w:styleId="Style19">
    <w:name w:val="Вміст рамки"/>
    <w:basedOn w:val="Normal"/>
    <w:qFormat/>
    <w:pPr/>
    <w:rPr/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4772-pro-vnesennia-zmin-do-miskoyi-socialnoyi-programi-miloserdia-v-diyi-na-2022-2024-rok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7F25-40FB-40E9-A440-49F0EFB5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LibreOffice/25.8.2.2$Windows_x86 LibreOffice_project/d401f2107ccab8f924a8e2df40f573aab7605b6f</Application>
  <AppVersion>15.0000</AppVersion>
  <Pages>6</Pages>
  <Words>966</Words>
  <Characters>6372</Characters>
  <CharactersWithSpaces>7233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2022-11-25T08:59:00Z</dcterms:created>
  <dc:creator>User</dc:creator>
  <dc:description/>
  <dc:language>uk-UA</dc:language>
  <cp:lastModifiedBy/>
  <cp:lastPrinted>2021-10-22T06:04:00Z</cp:lastPrinted>
  <dcterms:modified xsi:type="dcterms:W3CDTF">2025-11-26T07:59:46Z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