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ru-RU"/>
        </w:rPr>
      </w:pPr>
      <w:r>
        <w:rPr>
          <w:lang w:val="ru-RU"/>
        </w:rPr>
      </w:r>
      <w:bookmarkStart w:id="0" w:name="_Hlk129942606"/>
      <w:bookmarkStart w:id="1" w:name="_Hlk129942606"/>
      <w:bookmarkEnd w:id="1"/>
    </w:p>
    <w:p>
      <w:pPr>
        <w:pStyle w:val="Normal"/>
        <w:ind w:start="6379"/>
        <w:rPr/>
      </w:pPr>
      <w:bookmarkStart w:id="2" w:name="_Hlk129942606"/>
      <w:bookmarkStart w:id="3" w:name="_Hlk184827967"/>
      <w:bookmarkEnd w:id="2"/>
      <w:bookmarkEnd w:id="3"/>
      <w:r>
        <w:rPr/>
        <w:tab/>
        <w:t xml:space="preserve">Додаток 1 </w:t>
      </w:r>
    </w:p>
    <w:p>
      <w:pPr>
        <w:pStyle w:val="Normal"/>
        <w:ind w:start="6379"/>
        <w:rPr/>
      </w:pPr>
      <w:r>
        <w:rPr/>
        <w:tab/>
        <w:t>до Програми</w:t>
      </w:r>
    </w:p>
    <w:p>
      <w:pPr>
        <w:pStyle w:val="Normal"/>
        <w:ind w:start="6379"/>
        <w:rPr/>
      </w:pPr>
      <w:r>
        <w:rPr/>
      </w:r>
    </w:p>
    <w:p>
      <w:pPr>
        <w:pStyle w:val="Normal"/>
        <w:jc w:val="center"/>
        <w:rPr/>
      </w:pPr>
      <w:r>
        <w:rPr/>
        <w:t>ПАСПОРТ</w:t>
      </w:r>
    </w:p>
    <w:p>
      <w:pPr>
        <w:pStyle w:val="Normal"/>
        <w:jc w:val="center"/>
        <w:rPr/>
      </w:pPr>
      <w:r>
        <w:rPr/>
        <w:t xml:space="preserve">Програми </w:t>
      </w:r>
      <w:bookmarkStart w:id="4" w:name="_Hlk146790157"/>
      <w:r>
        <w:rPr/>
        <w:t>утримання та фінансової підтримки</w:t>
      </w:r>
    </w:p>
    <w:p>
      <w:pPr>
        <w:pStyle w:val="Normal"/>
        <w:jc w:val="center"/>
        <w:rPr/>
      </w:pPr>
      <w:r>
        <w:rPr/>
        <w:t xml:space="preserve">КЗ «Роздільнянський стадіон «Спартак» </w:t>
      </w:r>
    </w:p>
    <w:p>
      <w:pPr>
        <w:pStyle w:val="Normal"/>
        <w:jc w:val="center"/>
        <w:rPr/>
      </w:pPr>
      <w:r>
        <w:rPr/>
        <w:t>на 2024-2026 роки</w:t>
      </w:r>
      <w:bookmarkEnd w:id="4"/>
    </w:p>
    <w:p>
      <w:pPr>
        <w:pStyle w:val="Normal"/>
        <w:jc w:val="center"/>
        <w:rPr/>
      </w:pPr>
      <w:r>
        <w:rPr/>
      </w:r>
    </w:p>
    <w:tbl>
      <w:tblPr>
        <w:tblStyle w:val="ad"/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87"/>
        <w:gridCol w:w="3970"/>
        <w:gridCol w:w="4961"/>
      </w:tblGrid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Назва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Програми утримання та фінансової підтримки КЗ «Роздільнянський стадіон «Спартак»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на 2024-2026 роки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Ініціатор розроблення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 Роздільнянської міської ради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Підстава для розробки/ Дата, номер і назва розпорядчого документу та органу виконавчої влади про розроблення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Закон України «Про фізичну культуру і спорт»;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Указ Президента України від 09.02.2016 року «Про Національну стратегію з оздоровчої рухової активності в Україні на період до 2025 року "Рухова активність - здоровий спосіб життя — здорова нація";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Постанова Кабінету Міністрів України від 04.11.2020 «Про затвердження Стратегії розвитку фізичної культури і спорту на період до 2028 року»;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Наказ Міністерства молоді та спорту України «Про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учасників»;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Рішення Роздільнянської міської ради від 06.03.2024 № 3686-</w:t>
            </w:r>
            <w:r>
              <w:rPr>
                <w:kern w:val="0"/>
                <w:lang w:val="en-US" w:bidi="ar-SA"/>
              </w:rPr>
              <w:t>VIII</w:t>
            </w:r>
            <w:r>
              <w:rPr>
                <w:kern w:val="0"/>
                <w:lang w:val="uk-UA" w:bidi="ar-SA"/>
              </w:rPr>
              <w:t xml:space="preserve"> «Про затвердження Порядку розроблення, виконання, моніторингу місцевих програм та звітності про їх виконання»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4.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Розробник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 Роздільнянської міської ради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5.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Співрозробники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КЗ «Роздільнянський стадіон «Спартак»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6.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Відповідальний виконавець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 Роздільнянської міської ради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КЗ «Роздільнянський стадіон «Спартак»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7.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Мета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Утримання та фінансова підтримка КЗ «Роздільнянський стадіон «Спартак» для створення умов з метою залучення широких верств населення до систематичних занять фізичною культурою та масовим спортом, популяризації здорового способу життя та сприяння розвитку фізкультурно-спортивної реабілітації, а також максимальної реалізації здібностей обдарованої молоді.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8.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Термін реалізації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2024-2026 роки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9.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10123,451 тис. грн.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всього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10123,451 тис. грн.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У тому числі: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9.1.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кошти міського бюджету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10123,451 тис. грн.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9.2.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кошти Державного бюджету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9.3.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кошти інших джерел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Очікувані результати виконання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ind w:firstLine="708"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Виконання Програми дасть можливість: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ind w:hanging="0"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 xml:space="preserve">забезпечити якісне функціонування стадіону «Спартак» та утримувати спортивні споруди у  належному стані.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ind w:hanging="0"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 xml:space="preserve">привести вигляд стадіону у відповідність до сучасних вимог (реконструкція, реставрація, модернізація території та наявних споруд, ефективне використання природних та трудових ресурсів), що дозволить максимально задовольнити відповідні потреби населення.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ind w:hanging="0"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підвищити рівень охоплення мешканців міста фізкультурно-оздоровчою та спортивною роботою;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ind w:hanging="0"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впроваджувати систему фізкультурної просвіти населення, що сприятиме формуванню традицій і культури здорового способу життя, престижу здоров’я, залученню громадян до активних занять фізичною культурою і спортом та формуванню нових цінностей та орієнтирів, направлених на збереження та зміцнення здоров’я людей;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ind w:hanging="0"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підвищити рівень забезпечення населення спортивними послугами.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11.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Ключові показники ефективності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Ефективність Програми спрямована на досягнення значних показників соціально-економічного та фізкультурно-спортивного сегментів.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12.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 Роздільнянської міської ради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 xml:space="preserve">Постійна комісія Роздільнянської міської ради з питань </w:t>
            </w:r>
            <w:r>
              <w:rPr>
                <w:rFonts w:eastAsia="Calibri"/>
                <w:kern w:val="0"/>
                <w:lang w:val="uk-UA" w:bidi="ar-SA"/>
              </w:rPr>
              <w:t xml:space="preserve">  соціального захисту населення, молодіжної політики, охорони здоров’я, освіти, підтримки культури та спорту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Autospacing="1" w:afterAutospacing="1"/>
        <w:ind w:firstLine="709"/>
        <w:jc w:val="both"/>
        <w:rPr/>
      </w:pPr>
      <w:r>
        <w:rPr/>
      </w:r>
    </w:p>
    <w:p>
      <w:pPr>
        <w:pStyle w:val="Normal"/>
        <w:spacing w:beforeAutospacing="1" w:afterAutospacing="1"/>
        <w:ind w:firstLine="709"/>
        <w:jc w:val="both"/>
        <w:rPr/>
      </w:pPr>
      <w:r>
        <w:rPr/>
      </w:r>
    </w:p>
    <w:p>
      <w:pPr>
        <w:pStyle w:val="Normal"/>
        <w:rPr>
          <w:lang w:eastAsia="uk-UA"/>
        </w:rPr>
      </w:pPr>
      <w:r>
        <w:rPr>
          <w:lang w:eastAsia="uk-UA"/>
        </w:rPr>
      </w:r>
    </w:p>
    <w:p>
      <w:pPr>
        <w:pStyle w:val="Normal"/>
        <w:ind w:start="5670"/>
        <w:rPr/>
      </w:pPr>
      <w:r>
        <w:rPr/>
        <w:t xml:space="preserve">   </w:t>
      </w:r>
      <w:r>
        <w:rPr/>
        <w:tab/>
        <w:tab/>
        <w:t>Додаток 3</w:t>
      </w:r>
    </w:p>
    <w:p>
      <w:pPr>
        <w:pStyle w:val="Normal"/>
        <w:ind w:start="5670"/>
        <w:rPr/>
      </w:pPr>
      <w:r>
        <w:rPr/>
        <w:t xml:space="preserve">   </w:t>
      </w:r>
      <w:r>
        <w:rPr/>
        <w:tab/>
        <w:tab/>
        <w:t>до Програми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Ресурсне забезпечення </w:t>
      </w:r>
    </w:p>
    <w:p>
      <w:pPr>
        <w:pStyle w:val="Normal"/>
        <w:jc w:val="center"/>
        <w:rPr/>
      </w:pPr>
      <w:r>
        <w:rPr/>
        <w:t>Програми утримання та фінансової підтримки</w:t>
      </w:r>
    </w:p>
    <w:p>
      <w:pPr>
        <w:pStyle w:val="Normal"/>
        <w:jc w:val="center"/>
        <w:rPr/>
      </w:pPr>
      <w:r>
        <w:rPr/>
        <w:t xml:space="preserve">КЗ «Роздільнянський стадіон «Спартак» </w:t>
      </w:r>
    </w:p>
    <w:p>
      <w:pPr>
        <w:pStyle w:val="Normal"/>
        <w:jc w:val="center"/>
        <w:rPr/>
      </w:pPr>
      <w:r>
        <w:rPr/>
        <w:t>на 2024-2026 роки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d"/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15"/>
        <w:gridCol w:w="1953"/>
        <w:gridCol w:w="1997"/>
        <w:gridCol w:w="1842"/>
        <w:gridCol w:w="1837"/>
      </w:tblGrid>
      <w:tr>
        <w:trPr>
          <w:trHeight w:val="471" w:hRule="atLeast"/>
        </w:trPr>
        <w:tc>
          <w:tcPr>
            <w:tcW w:w="171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95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Обсяг коштів,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 xml:space="preserve">Що пропонується залучити на виконання Програми,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тис. грн.</w:t>
            </w:r>
          </w:p>
        </w:tc>
        <w:tc>
          <w:tcPr>
            <w:tcW w:w="5676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Етапи виконання Програми</w:t>
            </w:r>
          </w:p>
        </w:tc>
      </w:tr>
      <w:tr>
        <w:trPr/>
        <w:tc>
          <w:tcPr>
            <w:tcW w:w="171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95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2024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2025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2026</w:t>
            </w:r>
          </w:p>
        </w:tc>
      </w:tr>
      <w:tr>
        <w:trPr/>
        <w:tc>
          <w:tcPr>
            <w:tcW w:w="171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Обсяг ресурсів усього, у тому числі: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10123,451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3217,745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3184,451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3721,255</w:t>
            </w:r>
          </w:p>
        </w:tc>
      </w:tr>
      <w:tr>
        <w:trPr/>
        <w:tc>
          <w:tcPr>
            <w:tcW w:w="171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Місцевий бюджет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10123,451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3217,745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3184,451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3721,255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start="36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bookmarkStart w:id="5" w:name="_Hlk185322738"/>
      <w:bookmarkEnd w:id="5"/>
      <w:r>
        <w:rPr>
          <w:rFonts w:eastAsia="Calibri"/>
          <w:lang w:eastAsia="en-US"/>
        </w:rPr>
        <w:tab/>
        <w:tab/>
        <w:t>Додаток 4</w:t>
      </w:r>
    </w:p>
    <w:p>
      <w:pPr>
        <w:pStyle w:val="Normal"/>
        <w:spacing w:lineRule="auto" w:line="259"/>
        <w:ind w:start="5812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</w:r>
      <w:bookmarkStart w:id="6" w:name="_GoBack"/>
      <w:bookmarkEnd w:id="6"/>
      <w:r>
        <w:rPr>
          <w:rFonts w:eastAsia="Calibri"/>
          <w:lang w:eastAsia="en-US"/>
        </w:rPr>
        <w:t>до Програми</w:t>
      </w:r>
    </w:p>
    <w:p>
      <w:pPr>
        <w:pStyle w:val="Normal"/>
        <w:spacing w:lineRule="auto" w:line="259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Очікувані кінцеві результати виконання</w:t>
      </w:r>
    </w:p>
    <w:p>
      <w:pPr>
        <w:pStyle w:val="Normal"/>
        <w:spacing w:lineRule="auto" w:line="25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Програми утримання та фінансової підтримки </w:t>
      </w:r>
    </w:p>
    <w:p>
      <w:pPr>
        <w:pStyle w:val="Normal"/>
        <w:spacing w:lineRule="auto" w:line="25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КЗ «Роздільнянський стадіон «Спартак» </w:t>
      </w:r>
    </w:p>
    <w:p>
      <w:pPr>
        <w:pStyle w:val="Normal"/>
        <w:spacing w:lineRule="auto" w:line="25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2024-2026 роки</w:t>
      </w:r>
    </w:p>
    <w:p>
      <w:pPr>
        <w:pStyle w:val="Normal"/>
        <w:spacing w:lineRule="auto" w:line="259" w:before="0" w:after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79"/>
        <w:gridCol w:w="2553"/>
        <w:gridCol w:w="1059"/>
        <w:gridCol w:w="1152"/>
        <w:gridCol w:w="1040"/>
        <w:gridCol w:w="1093"/>
        <w:gridCol w:w="1042"/>
      </w:tblGrid>
      <w:tr>
        <w:trPr/>
        <w:tc>
          <w:tcPr>
            <w:tcW w:w="19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Усього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 тому числі за роками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>
        <w:trPr/>
        <w:tc>
          <w:tcPr>
            <w:tcW w:w="19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hanging="0" w:start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Показник затрат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Обсяг видатків на утримання комунальних спортивних споруд, видатки на утримання/надання фінансової підтримки яких/яким здійснюється з бюджету</w:t>
            </w:r>
          </w:p>
        </w:tc>
        <w:tc>
          <w:tcPr>
            <w:tcW w:w="1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10123,451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3217,745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3184,451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3721,255</w:t>
            </w:r>
          </w:p>
        </w:tc>
      </w:tr>
      <w:tr>
        <w:trPr>
          <w:trHeight w:val="1222" w:hRule="atLeast"/>
        </w:trPr>
        <w:tc>
          <w:tcPr>
            <w:tcW w:w="1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start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Показник затрат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Кількість штатних працівників</w:t>
            </w:r>
          </w:p>
        </w:tc>
        <w:tc>
          <w:tcPr>
            <w:tcW w:w="1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Показник продукту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Кількість комунальних спортивних споруд, видатки на утримання/надання фінансової підтримки яких/яким здійснюється з бюджету</w:t>
            </w:r>
          </w:p>
        </w:tc>
        <w:tc>
          <w:tcPr>
            <w:tcW w:w="1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Показник ефективності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Середні витрати на утримання однієї штатної одиниці</w:t>
            </w:r>
          </w:p>
        </w:tc>
        <w:tc>
          <w:tcPr>
            <w:tcW w:w="1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Тис. грн.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460,136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146,261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144,748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169,148</w:t>
            </w:r>
          </w:p>
        </w:tc>
      </w:tr>
      <w:tr>
        <w:trPr>
          <w:trHeight w:val="2378" w:hRule="atLeast"/>
        </w:trPr>
        <w:tc>
          <w:tcPr>
            <w:tcW w:w="1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Показник якості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Темп зростання (зменшення) кількості спортивних заходів, що проводяться на комунальних спортивних спорудах, порівняно з минулим роком</w:t>
            </w:r>
          </w:p>
        </w:tc>
        <w:tc>
          <w:tcPr>
            <w:tcW w:w="1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567" w:gutter="0" w:header="902" w:top="1134" w:footer="567" w:bottom="1134"/>
          <w:pgNumType w:fmt="decimal"/>
          <w:formProt w:val="false"/>
          <w:titlePg/>
          <w:textDirection w:val="lrTb"/>
        </w:sectPr>
      </w:pPr>
    </w:p>
    <w:p>
      <w:pPr>
        <w:pStyle w:val="Normal"/>
        <w:ind w:start="10773"/>
        <w:jc w:val="both"/>
        <w:rPr/>
      </w:pPr>
      <w:bookmarkStart w:id="7" w:name="_Hlk184827967"/>
      <w:bookmarkStart w:id="8" w:name="_Hlk185322738"/>
      <w:bookmarkEnd w:id="7"/>
      <w:bookmarkEnd w:id="8"/>
      <w:r>
        <w:rPr/>
        <w:tab/>
        <w:tab/>
        <w:t>Додаток 2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</w:t>
      </w:r>
      <w:r>
        <w:rPr/>
        <w:tab/>
        <w:tab/>
        <w:t>до Програми</w:t>
      </w:r>
    </w:p>
    <w:p>
      <w:pPr>
        <w:pStyle w:val="Normal"/>
        <w:jc w:val="center"/>
        <w:rPr/>
      </w:pPr>
      <w:r>
        <w:rPr/>
        <w:t>Напрями діяльності та заходи Програми</w:t>
      </w:r>
    </w:p>
    <w:tbl>
      <w:tblPr>
        <w:tblStyle w:val="ad"/>
        <w:tblW w:w="160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2"/>
        <w:gridCol w:w="2035"/>
        <w:gridCol w:w="2125"/>
        <w:gridCol w:w="852"/>
        <w:gridCol w:w="1417"/>
        <w:gridCol w:w="1275"/>
        <w:gridCol w:w="1135"/>
        <w:gridCol w:w="1134"/>
        <w:gridCol w:w="1134"/>
        <w:gridCol w:w="1133"/>
        <w:gridCol w:w="3261"/>
      </w:tblGrid>
      <w:tr>
        <w:trPr/>
        <w:tc>
          <w:tcPr>
            <w:tcW w:w="51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з/п</w:t>
            </w:r>
          </w:p>
        </w:tc>
        <w:tc>
          <w:tcPr>
            <w:tcW w:w="20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Назва напрямку діяльності (пріоритетні завдання)</w:t>
            </w:r>
          </w:p>
        </w:tc>
        <w:tc>
          <w:tcPr>
            <w:tcW w:w="212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Перелік заходів Програми</w:t>
            </w:r>
          </w:p>
        </w:tc>
        <w:tc>
          <w:tcPr>
            <w:tcW w:w="85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Термін виконання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Виконавці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Джерела фінансування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Орієнтовний обсяг фінансування, тис. грн.</w:t>
            </w:r>
          </w:p>
        </w:tc>
        <w:tc>
          <w:tcPr>
            <w:tcW w:w="3401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У тому числі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за роками</w:t>
            </w:r>
          </w:p>
        </w:tc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Очікувані результати</w:t>
            </w:r>
          </w:p>
        </w:tc>
      </w:tr>
      <w:tr>
        <w:trPr/>
        <w:tc>
          <w:tcPr>
            <w:tcW w:w="51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20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212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2026</w:t>
            </w:r>
          </w:p>
        </w:tc>
        <w:tc>
          <w:tcPr>
            <w:tcW w:w="326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</w:t>
            </w:r>
          </w:p>
        </w:tc>
        <w:tc>
          <w:tcPr>
            <w:tcW w:w="20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10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11</w:t>
            </w:r>
          </w:p>
        </w:tc>
      </w:tr>
      <w:tr>
        <w:trPr>
          <w:trHeight w:val="2401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1.</w:t>
            </w:r>
          </w:p>
        </w:tc>
        <w:tc>
          <w:tcPr>
            <w:tcW w:w="20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Оплата праці працівників КЗ «Роздільнянський стадіон «Спартак» з нарахуваннями на заробітну плату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2024-2026 роки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9031,626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2843,45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2828,236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3359,94</w:t>
            </w:r>
          </w:p>
        </w:tc>
        <w:tc>
          <w:tcPr>
            <w:tcW w:w="3261" w:type="dxa"/>
            <w:tcBorders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 xml:space="preserve">- забезпечити належну організацію робочого процесу та ефективне використання трудових ресурсів; </w:t>
            </w:r>
          </w:p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 підвищити рівень охоплення мешканців міста фізкультурно-оздоровчою та спортивною роботою;</w:t>
            </w:r>
          </w:p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 впроваджувати систему фізкультурної просвіти населення, що сприятиме формуванню традицій і культури здорового способу життя, престижу здоров’я, залученню громадян до активних занять фізичною культурою і спортом та формуванню нових цінностей та орієнтирів, направлених на збереження та зміцнення здоров’я людей;</w:t>
            </w:r>
          </w:p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 підвищити рівень забезпечення населення спортивними послугами</w:t>
            </w:r>
          </w:p>
        </w:tc>
      </w:tr>
      <w:tr>
        <w:trPr>
          <w:trHeight w:val="2401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2.</w:t>
            </w:r>
          </w:p>
        </w:tc>
        <w:tc>
          <w:tcPr>
            <w:tcW w:w="20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Оплата комунальних послуг для забезпечення діяльності закладу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2024-2026 роки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549,43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188,725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169,95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190,755</w:t>
            </w:r>
          </w:p>
        </w:tc>
        <w:tc>
          <w:tcPr>
            <w:tcW w:w="3261" w:type="dxa"/>
            <w:tcBorders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 забезпечити безперебійне функціонування закладу з метою надання населенню фізкультурно-спортивних послуг</w:t>
            </w:r>
          </w:p>
        </w:tc>
      </w:tr>
      <w:tr>
        <w:trPr>
          <w:trHeight w:val="1565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3.</w:t>
            </w:r>
          </w:p>
        </w:tc>
        <w:tc>
          <w:tcPr>
            <w:tcW w:w="20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Придбання господарських товарів для утримання мережі спортивних об’єктів у належному стані, паливно-мастильних, будівельних матеріалів, дезінфікуючих та миючих засобів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2024-2026 роки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483,335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172,57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163,235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147,53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 утримувати комплекс споруд стадіону у робочому стані згідно з сучасними вимогами (догляд, ремонт, реконструкція, реставрація, модернізація території та наявних споруд, безпека тощо)</w:t>
            </w:r>
          </w:p>
        </w:tc>
      </w:tr>
      <w:tr>
        <w:trPr>
          <w:trHeight w:val="1565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4.</w:t>
            </w:r>
          </w:p>
        </w:tc>
        <w:tc>
          <w:tcPr>
            <w:tcW w:w="20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Придбання канцелярських товарів, оплата телефонного зв’язку та інтернету, послуг з обслуговування оргтехніки, вентканалів, газового обладнання, димоходів тощо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52,6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20,3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20,3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-забезпечити безперебійне функціонування закладу у відповідності до сучасних вимог</w:t>
            </w:r>
          </w:p>
        </w:tc>
      </w:tr>
      <w:tr>
        <w:trPr>
          <w:trHeight w:val="1565" w:hRule="atLeast"/>
        </w:trPr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5.</w:t>
            </w:r>
          </w:p>
        </w:tc>
        <w:tc>
          <w:tcPr>
            <w:tcW w:w="20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 xml:space="preserve">Навчання працівників 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Міський бюджет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6,46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1,0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2,73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2,73</w:t>
            </w:r>
          </w:p>
        </w:tc>
        <w:tc>
          <w:tcPr>
            <w:tcW w:w="3261" w:type="dxa"/>
            <w:tcBorders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- підвищення кваліфікації працівників з питань цивільного захисту населення</w:t>
            </w:r>
          </w:p>
        </w:tc>
      </w:tr>
      <w:tr>
        <w:trPr>
          <w:trHeight w:val="572" w:hRule="atLeast"/>
        </w:trPr>
        <w:tc>
          <w:tcPr>
            <w:tcW w:w="8216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  <w:t>Всього за Програмою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uk-UA" w:bidi="ar-SA"/>
              </w:rPr>
              <w:t>10123,451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3217,745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3184,451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3721,255</w:t>
            </w:r>
          </w:p>
        </w:tc>
        <w:tc>
          <w:tcPr>
            <w:tcW w:w="3261" w:type="dxa"/>
            <w:tcBorders/>
          </w:tcPr>
          <w:p>
            <w:pPr>
              <w:pStyle w:val="ListParagraph"/>
              <w:widowControl/>
              <w:spacing w:before="0" w:after="0"/>
              <w:ind w:start="0"/>
              <w:contextualSpacing/>
              <w:jc w:val="both"/>
              <w:rPr>
                <w:kern w:val="0"/>
                <w:lang w:val="uk-UA" w:bidi="ar-SA"/>
              </w:rPr>
            </w:pPr>
            <w:r>
              <w:rPr>
                <w:kern w:val="0"/>
                <w:lang w:val="uk-UA" w:bidi="ar-SA"/>
              </w:rPr>
            </w:r>
            <w:bookmarkStart w:id="9" w:name="_Hlk184828102"/>
            <w:bookmarkStart w:id="10" w:name="_Hlk184828102"/>
            <w:bookmarkEnd w:id="10"/>
          </w:p>
        </w:tc>
      </w:tr>
    </w:tbl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567" w:right="253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Рам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0.05pt;mso-position-vertical-relative:text;margin-left:24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Рам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0.05pt;mso-position-vertical-relative:text;margin-left:399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start"/>
      <w:pPr>
        <w:tabs>
          <w:tab w:val="num" w:pos="0"/>
        </w:tabs>
        <w:ind w:start="644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358d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paragraph" w:styleId="Heading1">
    <w:name w:val="heading 1"/>
    <w:basedOn w:val="Normal"/>
    <w:next w:val="Normal"/>
    <w:link w:val="1"/>
    <w:qFormat/>
    <w:rsid w:val="00df1577"/>
    <w:pPr>
      <w:keepNext w:val="true"/>
      <w:jc w:val="both"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link w:val="2"/>
    <w:qFormat/>
    <w:rsid w:val="00df1577"/>
    <w:pPr>
      <w:keepNext w:val="true"/>
      <w:jc w:val="both"/>
      <w:outlineLvl w:val="1"/>
    </w:pPr>
    <w:rPr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df1577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f1577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qFormat/>
    <w:rsid w:val="00df15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f1577"/>
    <w:rPr/>
  </w:style>
  <w:style w:type="character" w:styleId="Style13" w:customStyle="1">
    <w:name w:val="Нижний колонтитул Знак"/>
    <w:basedOn w:val="DefaultParagraphFont"/>
    <w:qFormat/>
    <w:rsid w:val="00df15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qFormat/>
    <w:rsid w:val="00df157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rong">
    <w:name w:val="Strong"/>
    <w:qFormat/>
    <w:rsid w:val="00df1577"/>
    <w:rPr>
      <w:b/>
      <w:bCs/>
    </w:rPr>
  </w:style>
  <w:style w:type="character" w:styleId="Style15" w:customStyle="1">
    <w:name w:val="Основной текст с отступом Знак"/>
    <w:basedOn w:val="DefaultParagraphFont"/>
    <w:qFormat/>
    <w:rsid w:val="00df15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semiHidden/>
    <w:qFormat/>
    <w:rsid w:val="00df1577"/>
    <w:rPr>
      <w:rFonts w:ascii="Tahoma" w:hAnsi="Tahoma" w:eastAsia="Times New Roman" w:cs="Tahoma"/>
      <w:sz w:val="16"/>
      <w:szCs w:val="16"/>
      <w:lang w:eastAsia="ru-RU"/>
    </w:rPr>
  </w:style>
  <w:style w:type="character" w:styleId="Emphasis">
    <w:name w:val="Emphasis"/>
    <w:qFormat/>
    <w:rsid w:val="00df1577"/>
    <w:rPr>
      <w:i/>
      <w:iCs/>
    </w:rPr>
  </w:style>
  <w:style w:type="character" w:styleId="rvts23" w:customStyle="1">
    <w:name w:val="rvts23"/>
    <w:basedOn w:val="DefaultParagraphFont"/>
    <w:qFormat/>
    <w:rsid w:val="00277835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df1577"/>
    <w:pPr/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rsid w:val="00df15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rsid w:val="00df15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Нормальний текст"/>
    <w:basedOn w:val="Normal"/>
    <w:qFormat/>
    <w:rsid w:val="00df1577"/>
    <w:pPr>
      <w:spacing w:before="120" w:after="0"/>
      <w:ind w:firstLine="567"/>
      <w:jc w:val="both"/>
    </w:pPr>
    <w:rPr>
      <w:rFonts w:ascii="Antiqua" w:hAnsi="Antiqua"/>
      <w:sz w:val="26"/>
      <w:szCs w:val="20"/>
    </w:rPr>
  </w:style>
  <w:style w:type="paragraph" w:styleId="11" w:customStyle="1">
    <w:name w:val="Абзац списка1"/>
    <w:basedOn w:val="Normal"/>
    <w:qFormat/>
    <w:rsid w:val="00df1577"/>
    <w:pPr>
      <w:spacing w:before="0" w:after="0"/>
      <w:ind w:start="720"/>
      <w:contextualSpacing/>
    </w:pPr>
    <w:rPr>
      <w:lang w:val="ru-RU"/>
    </w:rPr>
  </w:style>
  <w:style w:type="paragraph" w:styleId="NormalWeb">
    <w:name w:val="Normal (Web)"/>
    <w:basedOn w:val="Normal"/>
    <w:qFormat/>
    <w:rsid w:val="00df1577"/>
    <w:pPr>
      <w:spacing w:beforeAutospacing="1" w:afterAutospacing="1"/>
    </w:pPr>
    <w:rPr>
      <w:lang w:val="ru-RU"/>
    </w:rPr>
  </w:style>
  <w:style w:type="paragraph" w:styleId="BodyTextIndent">
    <w:name w:val="Body Text Indent"/>
    <w:basedOn w:val="Normal"/>
    <w:link w:val="Style15"/>
    <w:rsid w:val="00df1577"/>
    <w:pPr>
      <w:spacing w:before="0" w:after="120"/>
      <w:ind w:start="283"/>
    </w:pPr>
    <w:rPr/>
  </w:style>
  <w:style w:type="paragraph" w:styleId="BalloonText">
    <w:name w:val="Balloon Text"/>
    <w:basedOn w:val="Normal"/>
    <w:link w:val="Style16"/>
    <w:semiHidden/>
    <w:qFormat/>
    <w:rsid w:val="00df157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5f4"/>
    <w:pPr>
      <w:spacing w:before="0" w:after="0"/>
      <w:ind w:start="720"/>
      <w:contextualSpacing/>
    </w:pPr>
    <w:rPr/>
  </w:style>
  <w:style w:type="paragraph" w:styleId="Style21">
    <w:name w:val="Вміст рамки"/>
    <w:basedOn w:val="Normal"/>
    <w:qFormat/>
    <w:pPr/>
    <w:rPr/>
  </w:style>
  <w:style w:type="numbering" w:styleId="Style22" w:default="1">
    <w:name w:val="Без маркерів"/>
    <w:uiPriority w:val="99"/>
    <w:semiHidden/>
    <w:unhideWhenUsed/>
    <w:qFormat/>
  </w:style>
  <w:style w:type="numbering" w:styleId="12" w:customStyle="1">
    <w:name w:val="Немає списку1"/>
    <w:semiHidden/>
    <w:unhideWhenUsed/>
    <w:qFormat/>
    <w:rsid w:val="00df157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df1577"/>
    <w:pPr>
      <w:spacing w:after="0" w:line="240" w:lineRule="auto"/>
    </w:pPr>
    <w:rPr>
      <w:lang w:eastAsia="uk-U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3C63-C294-4BF8-96F6-B055DECF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LibreOffice/25.8.3.2$Windows_x86 LibreOffice_project/8ca8d55c161d602844f5428fa4b58097424e324e</Application>
  <AppVersion>15.0000</AppVersion>
  <Pages>7</Pages>
  <Words>979</Words>
  <Characters>6780</Characters>
  <CharactersWithSpaces>7734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2025-12-17T12:03:00Z</dcterms:created>
  <dc:creator>Користувач</dc:creator>
  <dc:description/>
  <dc:language>uk-UA</dc:language>
  <cp:lastModifiedBy/>
  <cp:lastPrinted>2025-12-17T12:01:00Z</cp:lastPrinted>
  <dcterms:modified xsi:type="dcterms:W3CDTF">2025-12-29T10:56:39Z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