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sz w:val="20"/>
          <w:szCs w:val="20"/>
          <w:lang w:val="ru-RU"/>
        </w:rPr>
      </w:pPr>
      <w:r>
        <w:rPr>
          <w:i/>
          <w:sz w:val="20"/>
          <w:szCs w:val="20"/>
          <w:lang w:val="ru-RU"/>
        </w:rPr>
      </w:r>
    </w:p>
    <w:p>
      <w:pPr>
        <w:pStyle w:val="Normal"/>
        <w:ind w:firstLine="708"/>
        <w:rPr>
          <w:iCs/>
          <w:sz w:val="20"/>
          <w:szCs w:val="20"/>
        </w:rPr>
      </w:pPr>
      <w:r>
        <w:rPr>
          <w:b/>
          <w:sz w:val="28"/>
          <w:szCs w:val="28"/>
        </w:rPr>
        <w:tab/>
        <w:tab/>
        <w:tab/>
        <w:tab/>
        <w:tab/>
        <w:tab/>
        <w:tab/>
      </w:r>
      <w:r>
        <w:rPr>
          <w:iCs/>
        </w:rPr>
        <w:t>ЗАТВЕРДЖЕНО</w:t>
      </w:r>
    </w:p>
    <w:p>
      <w:pPr>
        <w:pStyle w:val="Normal"/>
        <w:ind w:firstLine="708" w:start="4956"/>
        <w:jc w:val="both"/>
        <w:rPr>
          <w:iCs/>
        </w:rPr>
      </w:pPr>
      <w:r>
        <w:rPr>
          <w:iCs/>
        </w:rPr>
        <w:t xml:space="preserve">Рішення Роздільнянської міської ради </w:t>
      </w:r>
    </w:p>
    <w:p>
      <w:pPr>
        <w:pStyle w:val="Normal"/>
        <w:jc w:val="both"/>
        <w:rPr>
          <w:iCs/>
        </w:rPr>
      </w:pPr>
      <w:r>
        <w:rPr>
          <w:iCs/>
        </w:rPr>
        <w:tab/>
        <w:tab/>
        <w:tab/>
        <w:tab/>
        <w:tab/>
        <w:tab/>
        <w:tab/>
        <w:tab/>
        <w:t>24 грудня 2025 року</w:t>
      </w:r>
    </w:p>
    <w:p>
      <w:pPr>
        <w:pStyle w:val="Normal"/>
        <w:jc w:val="both"/>
        <w:rPr>
          <w:iCs/>
        </w:rPr>
      </w:pPr>
      <w:r>
        <w:rPr>
          <w:iCs/>
        </w:rPr>
        <w:tab/>
        <w:tab/>
        <w:tab/>
        <w:tab/>
        <w:tab/>
        <w:tab/>
        <w:tab/>
        <w:tab/>
        <w:t>№</w:t>
      </w:r>
      <w:r>
        <w:rPr/>
        <w:t>5026-VIIІ</w:t>
      </w:r>
      <w:bookmarkStart w:id="0" w:name="_GoBack"/>
      <w:bookmarkEnd w:id="0"/>
    </w:p>
    <w:p>
      <w:pPr>
        <w:pStyle w:val="Normal"/>
        <w:ind w:end="142"/>
        <w:rPr>
          <w:b/>
          <w:sz w:val="28"/>
          <w:szCs w:val="28"/>
        </w:rPr>
      </w:pPr>
      <w:r>
        <w:rPr>
          <w:b/>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28"/>
          <w:szCs w:val="28"/>
        </w:rPr>
      </w:pPr>
      <w:r>
        <w:rPr>
          <w:b/>
          <w:bCs/>
          <w:sz w:val="28"/>
          <w:szCs w:val="28"/>
        </w:rPr>
      </w:r>
    </w:p>
    <w:p>
      <w:pPr>
        <w:pStyle w:val="Normal"/>
        <w:ind w:end="142"/>
        <w:jc w:val="center"/>
        <w:rPr>
          <w:b/>
          <w:bCs/>
          <w:sz w:val="32"/>
          <w:szCs w:val="32"/>
        </w:rPr>
      </w:pPr>
      <w:r>
        <w:rPr>
          <w:b/>
          <w:bCs/>
          <w:sz w:val="32"/>
          <w:szCs w:val="32"/>
        </w:rPr>
        <w:t xml:space="preserve">Місцева цільова соціальна Програма  </w:t>
      </w:r>
    </w:p>
    <w:p>
      <w:pPr>
        <w:pStyle w:val="Normal"/>
        <w:ind w:end="142"/>
        <w:jc w:val="center"/>
        <w:rPr>
          <w:b/>
          <w:bCs/>
          <w:sz w:val="32"/>
          <w:szCs w:val="32"/>
        </w:rPr>
      </w:pPr>
      <w:r>
        <w:rPr>
          <w:b/>
          <w:bCs/>
          <w:sz w:val="32"/>
          <w:szCs w:val="32"/>
        </w:rPr>
        <w:t>Роздільнянської міської територіальної громади</w:t>
      </w:r>
    </w:p>
    <w:p>
      <w:pPr>
        <w:pStyle w:val="Normal"/>
        <w:ind w:end="142"/>
        <w:jc w:val="center"/>
        <w:rPr>
          <w:b/>
          <w:bCs/>
          <w:sz w:val="32"/>
          <w:szCs w:val="32"/>
        </w:rPr>
      </w:pPr>
      <w:r>
        <w:rPr>
          <w:b/>
          <w:bCs/>
          <w:sz w:val="32"/>
          <w:szCs w:val="32"/>
        </w:rPr>
        <w:t xml:space="preserve">«Молодь громади» </w:t>
      </w:r>
    </w:p>
    <w:p>
      <w:pPr>
        <w:pStyle w:val="Normal"/>
        <w:ind w:end="142"/>
        <w:jc w:val="center"/>
        <w:rPr>
          <w:sz w:val="32"/>
          <w:szCs w:val="32"/>
        </w:rPr>
      </w:pPr>
      <w:r>
        <w:rPr>
          <w:b/>
          <w:bCs/>
          <w:sz w:val="32"/>
          <w:szCs w:val="32"/>
        </w:rPr>
        <w:t>на 2026-2028 роки</w:t>
      </w:r>
    </w:p>
    <w:p>
      <w:pPr>
        <w:pStyle w:val="Normal"/>
        <w:ind w:end="142"/>
        <w:jc w:val="center"/>
        <w:rPr>
          <w:b/>
          <w:bCs/>
          <w:sz w:val="32"/>
          <w:szCs w:val="32"/>
        </w:rPr>
      </w:pPr>
      <w:r>
        <w:rPr>
          <w:b/>
          <w:bCs/>
          <w:sz w:val="32"/>
          <w:szCs w:val="32"/>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lang w:val="en-US"/>
        </w:rPr>
      </w:pPr>
      <w:r>
        <w:rPr>
          <w:b/>
          <w:sz w:val="28"/>
          <w:szCs w:val="28"/>
          <w:lang w:val="en-US"/>
        </w:rPr>
      </w:r>
    </w:p>
    <w:p>
      <w:pPr>
        <w:pStyle w:val="Normal"/>
        <w:ind w:end="142"/>
        <w:jc w:val="center"/>
        <w:rPr>
          <w:b/>
          <w:sz w:val="28"/>
          <w:szCs w:val="28"/>
          <w:lang w:val="en-US"/>
        </w:rPr>
      </w:pPr>
      <w:r>
        <w:rPr>
          <w:b/>
          <w:sz w:val="28"/>
          <w:szCs w:val="28"/>
          <w:lang w:val="en-US"/>
        </w:rPr>
      </w:r>
    </w:p>
    <w:p>
      <w:pPr>
        <w:pStyle w:val="Normal"/>
        <w:ind w:end="142"/>
        <w:jc w:val="center"/>
        <w:rPr>
          <w:b/>
          <w:sz w:val="28"/>
          <w:szCs w:val="28"/>
          <w:lang w:val="en-US"/>
        </w:rPr>
      </w:pPr>
      <w:r>
        <w:rPr>
          <w:b/>
          <w:sz w:val="28"/>
          <w:szCs w:val="28"/>
          <w:lang w:val="en-US"/>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lang w:val="ru-RU"/>
        </w:rPr>
      </w:pPr>
      <w:r>
        <w:rPr>
          <w:b/>
          <w:sz w:val="28"/>
          <w:szCs w:val="28"/>
          <w:lang w:val="ru-RU"/>
        </w:rPr>
      </w:r>
    </w:p>
    <w:p>
      <w:pPr>
        <w:pStyle w:val="Normal"/>
        <w:ind w:end="142"/>
        <w:jc w:val="center"/>
        <w:rPr>
          <w:b/>
          <w:sz w:val="28"/>
          <w:szCs w:val="28"/>
          <w:lang w:val="ru-RU"/>
        </w:rPr>
      </w:pPr>
      <w:r>
        <w:rPr>
          <w:b/>
          <w:sz w:val="28"/>
          <w:szCs w:val="28"/>
          <w:lang w:val="ru-RU"/>
        </w:rPr>
      </w:r>
    </w:p>
    <w:p>
      <w:pPr>
        <w:pStyle w:val="Normal"/>
        <w:ind w:end="142"/>
        <w:jc w:val="center"/>
        <w:rPr>
          <w:b/>
          <w:sz w:val="28"/>
          <w:szCs w:val="28"/>
          <w:lang w:val="ru-RU"/>
        </w:rPr>
      </w:pPr>
      <w:r>
        <w:rPr>
          <w:b/>
          <w:sz w:val="28"/>
          <w:szCs w:val="28"/>
          <w:lang w:val="ru-RU"/>
        </w:rPr>
      </w:r>
    </w:p>
    <w:p>
      <w:pPr>
        <w:pStyle w:val="Normal"/>
        <w:ind w:end="142"/>
        <w:jc w:val="center"/>
        <w:rPr>
          <w:b/>
          <w:sz w:val="28"/>
          <w:szCs w:val="28"/>
          <w:lang w:val="ru-RU"/>
        </w:rPr>
      </w:pPr>
      <w:r>
        <w:rPr>
          <w:b/>
          <w:sz w:val="28"/>
          <w:szCs w:val="28"/>
          <w:lang w:val="ru-RU"/>
        </w:rPr>
      </w:r>
    </w:p>
    <w:p>
      <w:pPr>
        <w:pStyle w:val="Normal"/>
        <w:ind w:end="142"/>
        <w:jc w:val="center"/>
        <w:rPr>
          <w:b/>
          <w:sz w:val="28"/>
          <w:szCs w:val="28"/>
          <w:lang w:val="ru-RU"/>
        </w:rPr>
      </w:pPr>
      <w:r>
        <w:rPr>
          <w:b/>
          <w:sz w:val="28"/>
          <w:szCs w:val="28"/>
          <w:lang w:val="ru-RU"/>
        </w:rPr>
      </w:r>
    </w:p>
    <w:p>
      <w:pPr>
        <w:pStyle w:val="Normal"/>
        <w:ind w:end="142"/>
        <w:jc w:val="center"/>
        <w:rPr>
          <w:b/>
          <w:sz w:val="28"/>
          <w:szCs w:val="28"/>
          <w:lang w:val="ru-RU"/>
        </w:rPr>
      </w:pPr>
      <w:r>
        <w:rPr>
          <w:b/>
          <w:sz w:val="28"/>
          <w:szCs w:val="28"/>
          <w:lang w:val="ru-RU"/>
        </w:rPr>
      </w:r>
    </w:p>
    <w:p>
      <w:pPr>
        <w:pStyle w:val="Normal"/>
        <w:ind w:end="142"/>
        <w:jc w:val="center"/>
        <w:rPr>
          <w:b/>
          <w:sz w:val="28"/>
          <w:szCs w:val="28"/>
          <w:lang w:val="ru-RU"/>
        </w:rPr>
      </w:pPr>
      <w:r>
        <w:rPr>
          <w:b/>
          <w:sz w:val="28"/>
          <w:szCs w:val="28"/>
          <w:lang w:val="ru-RU"/>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Normal"/>
        <w:ind w:end="142"/>
        <w:jc w:val="center"/>
        <w:rPr>
          <w:b/>
          <w:sz w:val="28"/>
          <w:szCs w:val="28"/>
        </w:rPr>
      </w:pPr>
      <w:r>
        <w:rPr>
          <w:b/>
          <w:sz w:val="28"/>
          <w:szCs w:val="28"/>
        </w:rPr>
      </w:r>
    </w:p>
    <w:p>
      <w:pPr>
        <w:pStyle w:val="ListParagraph"/>
        <w:numPr>
          <w:ilvl w:val="0"/>
          <w:numId w:val="2"/>
        </w:numPr>
        <w:ind w:hanging="360" w:start="720" w:end="142"/>
        <w:jc w:val="center"/>
        <w:rPr>
          <w:b/>
        </w:rPr>
      </w:pPr>
      <w:r>
        <w:rPr>
          <w:b/>
        </w:rPr>
        <w:t>ПАСПОРТ ПРОГРАМИ</w:t>
      </w:r>
    </w:p>
    <w:tbl>
      <w:tblPr>
        <w:tblW w:w="9773" w:type="dxa"/>
        <w:jc w:val="start"/>
        <w:tblInd w:w="0" w:type="dxa"/>
        <w:tblLayout w:type="fixed"/>
        <w:tblCellMar>
          <w:top w:w="0" w:type="dxa"/>
          <w:start w:w="20" w:type="dxa"/>
          <w:bottom w:w="0" w:type="dxa"/>
          <w:end w:w="20" w:type="dxa"/>
        </w:tblCellMar>
        <w:tblLook w:firstRow="0" w:noVBand="1" w:lastRow="0" w:firstColumn="0" w:lastColumn="0" w:noHBand="1" w:val="0600"/>
      </w:tblPr>
      <w:tblGrid>
        <w:gridCol w:w="675"/>
        <w:gridCol w:w="3615"/>
        <w:gridCol w:w="5483"/>
      </w:tblGrid>
      <w:tr>
        <w:trPr>
          <w:trHeight w:val="570" w:hRule="atLeast"/>
        </w:trPr>
        <w:tc>
          <w:tcPr>
            <w:tcW w:w="675" w:type="dxa"/>
            <w:tcBorders>
              <w:top w:val="single" w:sz="6" w:space="0" w:color="000000"/>
              <w:start w:val="single" w:sz="6" w:space="0" w:color="000000"/>
            </w:tcBorders>
            <w:shd w:color="auto" w:fill="FFFFFF" w:val="clear"/>
          </w:tcPr>
          <w:p>
            <w:pPr>
              <w:pStyle w:val="Normal"/>
              <w:ind w:end="142"/>
              <w:rPr/>
            </w:pPr>
            <w:r>
              <w:rPr/>
              <w:t>1.</w:t>
            </w:r>
          </w:p>
        </w:tc>
        <w:tc>
          <w:tcPr>
            <w:tcW w:w="3615" w:type="dxa"/>
            <w:tcBorders>
              <w:top w:val="single" w:sz="6" w:space="0" w:color="000000"/>
              <w:start w:val="single" w:sz="6" w:space="0" w:color="000000"/>
            </w:tcBorders>
            <w:shd w:color="auto" w:fill="FFFFFF" w:val="clear"/>
          </w:tcPr>
          <w:p>
            <w:pPr>
              <w:pStyle w:val="Normal"/>
              <w:ind w:end="142"/>
              <w:rPr/>
            </w:pPr>
            <w:r>
              <w:rPr/>
              <w:t>Ініціатор розроблення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Виконавчий комітет Роздільнянської міської ради, Відділ молоді та спорту Роздільнянської міської ради</w:t>
            </w:r>
          </w:p>
        </w:tc>
      </w:tr>
      <w:tr>
        <w:trPr>
          <w:trHeight w:val="855" w:hRule="atLeast"/>
        </w:trPr>
        <w:tc>
          <w:tcPr>
            <w:tcW w:w="675" w:type="dxa"/>
            <w:tcBorders>
              <w:top w:val="single" w:sz="6" w:space="0" w:color="000000"/>
              <w:start w:val="single" w:sz="6" w:space="0" w:color="000000"/>
            </w:tcBorders>
            <w:shd w:color="auto" w:fill="FFFFFF" w:val="clear"/>
          </w:tcPr>
          <w:p>
            <w:pPr>
              <w:pStyle w:val="Normal"/>
              <w:ind w:end="142"/>
              <w:rPr/>
            </w:pPr>
            <w:r>
              <w:rPr/>
              <w:t>2.</w:t>
            </w:r>
          </w:p>
        </w:tc>
        <w:tc>
          <w:tcPr>
            <w:tcW w:w="3615" w:type="dxa"/>
            <w:tcBorders>
              <w:top w:val="single" w:sz="6" w:space="0" w:color="000000"/>
              <w:start w:val="single" w:sz="6" w:space="0" w:color="000000"/>
            </w:tcBorders>
            <w:shd w:color="auto" w:fill="FFFFFF" w:val="clear"/>
          </w:tcPr>
          <w:p>
            <w:pPr>
              <w:pStyle w:val="Normal"/>
              <w:ind w:end="142"/>
              <w:rPr/>
            </w:pPr>
            <w:r>
              <w:rPr/>
              <w:t>Дата, номер і назва розпорядчого документа про розроблення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Розпорядження Роздільнянської міської ради від    2 вересня 2025 року №271/од-2025 «Про створення робочої групи з розробки місцевої цільової соціальної Програми «Молодь громади» на 2026-2028 роки</w:t>
            </w:r>
          </w:p>
        </w:tc>
      </w:tr>
      <w:tr>
        <w:trPr>
          <w:trHeight w:val="525" w:hRule="atLeast"/>
        </w:trPr>
        <w:tc>
          <w:tcPr>
            <w:tcW w:w="675" w:type="dxa"/>
            <w:tcBorders>
              <w:top w:val="single" w:sz="6" w:space="0" w:color="000000"/>
              <w:start w:val="single" w:sz="6" w:space="0" w:color="000000"/>
            </w:tcBorders>
            <w:shd w:color="auto" w:fill="FFFFFF" w:val="clear"/>
          </w:tcPr>
          <w:p>
            <w:pPr>
              <w:pStyle w:val="Normal"/>
              <w:ind w:end="142"/>
              <w:rPr/>
            </w:pPr>
            <w:r>
              <w:rPr/>
              <w:t>3.</w:t>
            </w:r>
          </w:p>
        </w:tc>
        <w:tc>
          <w:tcPr>
            <w:tcW w:w="3615" w:type="dxa"/>
            <w:tcBorders>
              <w:top w:val="single" w:sz="6" w:space="0" w:color="000000"/>
              <w:start w:val="single" w:sz="6" w:space="0" w:color="000000"/>
            </w:tcBorders>
            <w:shd w:color="auto" w:fill="FFFFFF" w:val="clear"/>
          </w:tcPr>
          <w:p>
            <w:pPr>
              <w:pStyle w:val="Normal"/>
              <w:ind w:end="142"/>
              <w:rPr/>
            </w:pPr>
            <w:r>
              <w:rPr/>
              <w:t>Розробник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Відділ молоді та спорту Роздільнянської міської ради у складі робочої групи з розробки Програми</w:t>
            </w:r>
          </w:p>
        </w:tc>
      </w:tr>
      <w:tr>
        <w:trPr>
          <w:trHeight w:val="727" w:hRule="atLeast"/>
        </w:trPr>
        <w:tc>
          <w:tcPr>
            <w:tcW w:w="675" w:type="dxa"/>
            <w:tcBorders>
              <w:top w:val="single" w:sz="6" w:space="0" w:color="000000"/>
              <w:start w:val="single" w:sz="6" w:space="0" w:color="000000"/>
            </w:tcBorders>
            <w:shd w:color="auto" w:fill="FFFFFF" w:val="clear"/>
          </w:tcPr>
          <w:p>
            <w:pPr>
              <w:pStyle w:val="Normal"/>
              <w:ind w:end="142"/>
              <w:rPr/>
            </w:pPr>
            <w:r>
              <w:rPr/>
              <w:t>4.</w:t>
            </w:r>
          </w:p>
        </w:tc>
        <w:tc>
          <w:tcPr>
            <w:tcW w:w="3615" w:type="dxa"/>
            <w:tcBorders>
              <w:top w:val="single" w:sz="6" w:space="0" w:color="000000"/>
              <w:start w:val="single" w:sz="6" w:space="0" w:color="000000"/>
            </w:tcBorders>
            <w:shd w:color="auto" w:fill="FFFFFF" w:val="clear"/>
            <w:vAlign w:val="bottom"/>
          </w:tcPr>
          <w:p>
            <w:pPr>
              <w:pStyle w:val="Normal"/>
              <w:ind w:end="142"/>
              <w:rPr/>
            </w:pPr>
            <w:r>
              <w:rPr/>
              <w:t>Відповідальний виконавець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Відділ молоді та спорту Роздільнянської міської ради</w:t>
            </w:r>
          </w:p>
        </w:tc>
      </w:tr>
      <w:tr>
        <w:trPr>
          <w:trHeight w:val="420" w:hRule="atLeast"/>
        </w:trPr>
        <w:tc>
          <w:tcPr>
            <w:tcW w:w="675" w:type="dxa"/>
            <w:tcBorders>
              <w:top w:val="single" w:sz="6" w:space="0" w:color="000000"/>
              <w:start w:val="single" w:sz="6" w:space="0" w:color="000000"/>
            </w:tcBorders>
            <w:shd w:color="auto" w:fill="FFFFFF" w:val="clear"/>
          </w:tcPr>
          <w:p>
            <w:pPr>
              <w:pStyle w:val="Normal"/>
              <w:ind w:end="142"/>
              <w:rPr/>
            </w:pPr>
            <w:r>
              <w:rPr/>
              <w:t>5.</w:t>
            </w:r>
          </w:p>
        </w:tc>
        <w:tc>
          <w:tcPr>
            <w:tcW w:w="3615" w:type="dxa"/>
            <w:tcBorders>
              <w:top w:val="single" w:sz="6" w:space="0" w:color="000000"/>
              <w:start w:val="single" w:sz="6" w:space="0" w:color="000000"/>
            </w:tcBorders>
            <w:shd w:color="auto" w:fill="FFFFFF" w:val="clear"/>
          </w:tcPr>
          <w:p>
            <w:pPr>
              <w:pStyle w:val="Normal"/>
              <w:ind w:end="142"/>
              <w:rPr/>
            </w:pPr>
            <w:r>
              <w:rPr/>
              <w:t>Виконавці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Відділ молоді та спорту Роздільнянської міської ради</w:t>
            </w:r>
          </w:p>
          <w:p>
            <w:pPr>
              <w:pStyle w:val="Normal"/>
              <w:ind w:end="142"/>
              <w:rPr/>
            </w:pPr>
            <w:r>
              <w:rPr/>
              <w:t>Відділ культури Роздільнянської міської ради</w:t>
            </w:r>
          </w:p>
          <w:p>
            <w:pPr>
              <w:pStyle w:val="Normal"/>
              <w:ind w:end="142"/>
              <w:rPr/>
            </w:pPr>
            <w:r>
              <w:rPr/>
              <w:t>Відділ освіти Роздільнянської міської ради</w:t>
            </w:r>
          </w:p>
          <w:p>
            <w:pPr>
              <w:pStyle w:val="Normal"/>
              <w:ind w:end="142"/>
              <w:rPr/>
            </w:pPr>
            <w:r>
              <w:rPr/>
              <w:t xml:space="preserve">Відділ соціальної політики Роздільнянської міської ради </w:t>
            </w:r>
          </w:p>
          <w:p>
            <w:pPr>
              <w:pStyle w:val="Normal"/>
              <w:ind w:end="142"/>
              <w:rPr/>
            </w:pPr>
            <w:r>
              <w:rPr/>
              <w:t>Служба у справах дітей Розздільнянської міської ради</w:t>
            </w:r>
          </w:p>
        </w:tc>
      </w:tr>
      <w:tr>
        <w:trPr>
          <w:trHeight w:val="570" w:hRule="atLeast"/>
        </w:trPr>
        <w:tc>
          <w:tcPr>
            <w:tcW w:w="675" w:type="dxa"/>
            <w:tcBorders>
              <w:top w:val="single" w:sz="6" w:space="0" w:color="000000"/>
              <w:start w:val="single" w:sz="6" w:space="0" w:color="000000"/>
            </w:tcBorders>
            <w:shd w:color="auto" w:fill="FFFFFF" w:val="clear"/>
            <w:vAlign w:val="bottom"/>
          </w:tcPr>
          <w:p>
            <w:pPr>
              <w:pStyle w:val="Normal"/>
              <w:ind w:end="142"/>
              <w:rPr/>
            </w:pPr>
            <w:r>
              <w:rPr/>
              <w:t>6.</w:t>
            </w:r>
          </w:p>
        </w:tc>
        <w:tc>
          <w:tcPr>
            <w:tcW w:w="3615" w:type="dxa"/>
            <w:tcBorders>
              <w:top w:val="single" w:sz="6" w:space="0" w:color="000000"/>
              <w:start w:val="single" w:sz="6" w:space="0" w:color="000000"/>
            </w:tcBorders>
            <w:shd w:color="auto" w:fill="FFFFFF" w:val="clear"/>
          </w:tcPr>
          <w:p>
            <w:pPr>
              <w:pStyle w:val="Normal"/>
              <w:ind w:end="142"/>
              <w:rPr/>
            </w:pPr>
            <w:r>
              <w:rPr/>
              <w:t>Термін реалізації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2026 – 2028 роки</w:t>
            </w:r>
          </w:p>
        </w:tc>
      </w:tr>
      <w:tr>
        <w:trPr>
          <w:trHeight w:val="435" w:hRule="atLeast"/>
        </w:trPr>
        <w:tc>
          <w:tcPr>
            <w:tcW w:w="675" w:type="dxa"/>
            <w:tcBorders>
              <w:top w:val="single" w:sz="6" w:space="0" w:color="000000"/>
              <w:start w:val="single" w:sz="6" w:space="0" w:color="000000"/>
            </w:tcBorders>
            <w:shd w:color="auto" w:fill="FFFFFF" w:val="clear"/>
          </w:tcPr>
          <w:p>
            <w:pPr>
              <w:pStyle w:val="Normal"/>
              <w:ind w:end="142"/>
              <w:rPr/>
            </w:pPr>
            <w:r>
              <w:rPr/>
              <w:t>7.</w:t>
            </w:r>
          </w:p>
        </w:tc>
        <w:tc>
          <w:tcPr>
            <w:tcW w:w="3615" w:type="dxa"/>
            <w:tcBorders>
              <w:top w:val="single" w:sz="6" w:space="0" w:color="000000"/>
              <w:start w:val="single" w:sz="6" w:space="0" w:color="000000"/>
            </w:tcBorders>
            <w:shd w:color="auto" w:fill="FFFFFF" w:val="clear"/>
          </w:tcPr>
          <w:p>
            <w:pPr>
              <w:pStyle w:val="Normal"/>
              <w:ind w:end="142"/>
              <w:rPr/>
            </w:pPr>
            <w:r>
              <w:rPr/>
              <w:t>Мета Програми</w:t>
            </w:r>
          </w:p>
        </w:tc>
        <w:tc>
          <w:tcPr>
            <w:tcW w:w="5483" w:type="dxa"/>
            <w:tcBorders>
              <w:top w:val="single" w:sz="6" w:space="0" w:color="000000"/>
              <w:start w:val="single" w:sz="6" w:space="0" w:color="000000"/>
              <w:end w:val="single" w:sz="6" w:space="0" w:color="000000"/>
            </w:tcBorders>
            <w:shd w:color="auto" w:fill="FFFFFF" w:val="clear"/>
          </w:tcPr>
          <w:p>
            <w:pPr>
              <w:pStyle w:val="Normal"/>
              <w:ind w:end="142"/>
              <w:rPr/>
            </w:pPr>
            <w:r>
              <w:rPr/>
              <w:t>Ф</w:t>
            </w:r>
            <w:r>
              <w:rPr>
                <w:rStyle w:val="rvts0"/>
                <w:rFonts w:eastAsia="" w:eastAsiaTheme="majorEastAsia"/>
              </w:rPr>
              <w:t>ормування у молоді Роздільнянської міської територіальної громади як стратегічної складової людського капіталу України і громади відчуття належності до українського суспільства, розвиток її життєстійкості та створення можливостей для особистісної самореалізації, забезпечення сприятливих умов для участі та інтеграції у життя громади, зростання національної свідомості на основі суспільно-державних цінностей та відповідального громадянства, успішної соціалізації молоді, підвищення рівня громадянських компетентностей, спроможності бути самостійними, активними, патріотичними і відповідальними учасниками суспільних процесів.</w:t>
            </w:r>
          </w:p>
        </w:tc>
      </w:tr>
      <w:tr>
        <w:trPr>
          <w:trHeight w:val="2537" w:hRule="atLeast"/>
        </w:trPr>
        <w:tc>
          <w:tcPr>
            <w:tcW w:w="675" w:type="dxa"/>
            <w:tcBorders>
              <w:top w:val="single" w:sz="6" w:space="0" w:color="000000"/>
              <w:start w:val="single" w:sz="6" w:space="0" w:color="000000"/>
              <w:bottom w:val="single" w:sz="6" w:space="0" w:color="000000"/>
            </w:tcBorders>
            <w:shd w:color="auto" w:fill="FFFFFF" w:val="clear"/>
          </w:tcPr>
          <w:p>
            <w:pPr>
              <w:pStyle w:val="Normal"/>
              <w:ind w:end="142"/>
              <w:rPr/>
            </w:pPr>
            <w:r>
              <w:rPr/>
              <w:t>8.</w:t>
            </w:r>
          </w:p>
        </w:tc>
        <w:tc>
          <w:tcPr>
            <w:tcW w:w="3615" w:type="dxa"/>
            <w:tcBorders>
              <w:top w:val="single" w:sz="6" w:space="0" w:color="000000"/>
              <w:start w:val="single" w:sz="6" w:space="0" w:color="000000"/>
              <w:bottom w:val="single" w:sz="6" w:space="0" w:color="000000"/>
            </w:tcBorders>
            <w:shd w:color="auto" w:fill="FFFFFF" w:val="clear"/>
            <w:vAlign w:val="bottom"/>
          </w:tcPr>
          <w:p>
            <w:pPr>
              <w:pStyle w:val="Normal"/>
              <w:ind w:end="142"/>
              <w:rPr/>
            </w:pPr>
            <w:r>
              <w:rPr/>
              <w:t>Загальний обсяг фінансових ресурсів, необхідних для реалізації Програми, всього: зокрема:</w:t>
            </w:r>
          </w:p>
          <w:p>
            <w:pPr>
              <w:pStyle w:val="ListParagraph"/>
              <w:numPr>
                <w:ilvl w:val="0"/>
                <w:numId w:val="4"/>
              </w:numPr>
              <w:ind w:hanging="0" w:start="5" w:end="142"/>
              <w:rPr/>
            </w:pPr>
            <w:r>
              <w:rPr/>
              <w:t>- коштів Державного бюджету;</w:t>
            </w:r>
          </w:p>
          <w:p>
            <w:pPr>
              <w:pStyle w:val="ListParagraph"/>
              <w:numPr>
                <w:ilvl w:val="0"/>
                <w:numId w:val="4"/>
              </w:numPr>
              <w:ind w:hanging="5" w:start="5" w:end="142"/>
              <w:rPr/>
            </w:pPr>
            <w:r>
              <w:rPr/>
              <w:t>- коштів обласного бюджету;</w:t>
            </w:r>
          </w:p>
          <w:p>
            <w:pPr>
              <w:pStyle w:val="ListParagraph"/>
              <w:numPr>
                <w:ilvl w:val="0"/>
                <w:numId w:val="4"/>
              </w:numPr>
              <w:ind w:hanging="5" w:start="5" w:end="142"/>
              <w:rPr/>
            </w:pPr>
            <w:r>
              <w:rPr/>
              <w:t>-коштів бюджету Роздільнянської міської територіальної громади;</w:t>
            </w:r>
          </w:p>
          <w:p>
            <w:pPr>
              <w:pStyle w:val="Normal"/>
              <w:ind w:end="142"/>
              <w:rPr/>
            </w:pPr>
            <w:r>
              <w:rPr/>
              <w:t>-інші джерела.</w:t>
            </w:r>
          </w:p>
        </w:tc>
        <w:tc>
          <w:tcPr>
            <w:tcW w:w="5483" w:type="dxa"/>
            <w:tcBorders>
              <w:top w:val="single" w:sz="6" w:space="0" w:color="000000"/>
              <w:start w:val="single" w:sz="6" w:space="0" w:color="000000"/>
              <w:bottom w:val="single" w:sz="6" w:space="0" w:color="000000"/>
              <w:end w:val="single" w:sz="6" w:space="0" w:color="000000"/>
            </w:tcBorders>
            <w:shd w:color="auto" w:fill="FFFFFF" w:val="clear"/>
          </w:tcPr>
          <w:p>
            <w:pPr>
              <w:pStyle w:val="Normal"/>
              <w:ind w:end="142"/>
              <w:rPr/>
            </w:pPr>
            <w:r>
              <w:rPr/>
            </w:r>
          </w:p>
          <w:p>
            <w:pPr>
              <w:pStyle w:val="Normal"/>
              <w:ind w:end="142"/>
              <w:rPr/>
            </w:pPr>
            <w:r>
              <w:rPr/>
            </w:r>
          </w:p>
          <w:p>
            <w:pPr>
              <w:pStyle w:val="Normal"/>
              <w:ind w:end="142"/>
              <w:rPr/>
            </w:pPr>
            <w:r>
              <w:rPr/>
            </w:r>
          </w:p>
          <w:p>
            <w:pPr>
              <w:pStyle w:val="Normal"/>
              <w:ind w:end="142"/>
              <w:rPr/>
            </w:pPr>
            <w:r>
              <w:rPr/>
            </w:r>
          </w:p>
          <w:p>
            <w:pPr>
              <w:pStyle w:val="Normal"/>
              <w:ind w:end="142"/>
              <w:rPr/>
            </w:pPr>
            <w:r>
              <w:rPr/>
            </w:r>
          </w:p>
          <w:p>
            <w:pPr>
              <w:pStyle w:val="Normal"/>
              <w:ind w:end="142"/>
              <w:rPr/>
            </w:pPr>
            <w:r>
              <w:rPr/>
            </w:r>
          </w:p>
          <w:p>
            <w:pPr>
              <w:pStyle w:val="Normal"/>
              <w:ind w:end="142"/>
              <w:rPr/>
            </w:pPr>
            <w:r>
              <w:rPr/>
              <w:t>Міський бюджет – 1474,779 тис. грн.</w:t>
            </w:r>
          </w:p>
        </w:tc>
      </w:tr>
      <w:tr>
        <w:trPr>
          <w:trHeight w:val="570" w:hRule="atLeast"/>
        </w:trPr>
        <w:tc>
          <w:tcPr>
            <w:tcW w:w="675" w:type="dxa"/>
            <w:tcBorders>
              <w:top w:val="single" w:sz="6" w:space="0" w:color="000000"/>
              <w:start w:val="single" w:sz="6" w:space="0" w:color="000000"/>
              <w:bottom w:val="single" w:sz="4" w:space="0" w:color="000000"/>
            </w:tcBorders>
            <w:shd w:color="auto" w:fill="FFFFFF" w:val="clear"/>
          </w:tcPr>
          <w:p>
            <w:pPr>
              <w:pStyle w:val="Normal"/>
              <w:ind w:end="142"/>
              <w:rPr/>
            </w:pPr>
            <w:r>
              <w:rPr/>
              <w:t>9.</w:t>
            </w:r>
          </w:p>
        </w:tc>
        <w:tc>
          <w:tcPr>
            <w:tcW w:w="3615" w:type="dxa"/>
            <w:tcBorders>
              <w:top w:val="single" w:sz="6" w:space="0" w:color="000000"/>
              <w:start w:val="single" w:sz="6" w:space="0" w:color="000000"/>
              <w:bottom w:val="single" w:sz="4" w:space="0" w:color="000000"/>
            </w:tcBorders>
            <w:shd w:color="auto" w:fill="FFFFFF" w:val="clear"/>
          </w:tcPr>
          <w:p>
            <w:pPr>
              <w:pStyle w:val="Normal"/>
              <w:ind w:end="142"/>
              <w:rPr/>
            </w:pPr>
            <w:r>
              <w:rPr/>
              <w:t>Очікувані результати виконання</w:t>
            </w:r>
          </w:p>
        </w:tc>
        <w:tc>
          <w:tcPr>
            <w:tcW w:w="5483" w:type="dxa"/>
            <w:tcBorders>
              <w:top w:val="single" w:sz="6" w:space="0" w:color="000000"/>
              <w:start w:val="single" w:sz="6" w:space="0" w:color="000000"/>
              <w:bottom w:val="single" w:sz="4" w:space="0" w:color="000000"/>
              <w:end w:val="single" w:sz="6" w:space="0" w:color="000000"/>
            </w:tcBorders>
            <w:shd w:color="auto" w:fill="FFFFFF" w:val="clear"/>
          </w:tcPr>
          <w:p>
            <w:pPr>
              <w:pStyle w:val="Normal"/>
              <w:tabs>
                <w:tab w:val="clear" w:pos="708"/>
                <w:tab w:val="left" w:pos="1080" w:leader="none"/>
              </w:tabs>
              <w:ind w:firstLine="709" w:end="142"/>
              <w:jc w:val="both"/>
              <w:rPr/>
            </w:pPr>
            <w:r>
              <w:rPr/>
              <w:t>- Забезпечення участі молоді громади у прийнятті рішень та скоординованої діяльності органу місцевого самоврядування та консультативно-дорадчого органу з питань молодіжної політики;</w:t>
            </w:r>
          </w:p>
          <w:p>
            <w:pPr>
              <w:pStyle w:val="Normal"/>
              <w:tabs>
                <w:tab w:val="clear" w:pos="708"/>
                <w:tab w:val="left" w:pos="1080" w:leader="none"/>
              </w:tabs>
              <w:ind w:firstLine="709" w:end="142"/>
              <w:jc w:val="both"/>
              <w:rPr/>
            </w:pPr>
            <w:r>
              <w:rPr/>
              <w:t>- Розвиток  молодіжної інфраструктури  у громаді;</w:t>
            </w:r>
          </w:p>
          <w:p>
            <w:pPr>
              <w:pStyle w:val="Normal"/>
              <w:tabs>
                <w:tab w:val="clear" w:pos="708"/>
                <w:tab w:val="left" w:pos="1080" w:leader="none"/>
              </w:tabs>
              <w:ind w:firstLine="709" w:end="142"/>
              <w:jc w:val="both"/>
              <w:rPr/>
            </w:pPr>
            <w:r>
              <w:rPr/>
              <w:t>- Підвищення рівня охоплення молодих мешканців громади молодіжною роботою різних напрямків;</w:t>
            </w:r>
          </w:p>
          <w:p>
            <w:pPr>
              <w:pStyle w:val="Normal"/>
              <w:tabs>
                <w:tab w:val="clear" w:pos="708"/>
                <w:tab w:val="left" w:pos="1080" w:leader="none"/>
              </w:tabs>
              <w:ind w:firstLine="709" w:end="142"/>
              <w:jc w:val="both"/>
              <w:rPr/>
            </w:pPr>
            <w:r>
              <w:rPr/>
              <w:t>- Забезпечення скоординованої діяльності органу місцевого самоврядування з громадськими об’єднаннями  у молодіжній сфері;</w:t>
            </w:r>
          </w:p>
          <w:p>
            <w:pPr>
              <w:pStyle w:val="Normal"/>
              <w:tabs>
                <w:tab w:val="clear" w:pos="708"/>
                <w:tab w:val="left" w:pos="1080" w:leader="none"/>
              </w:tabs>
              <w:ind w:firstLine="709" w:end="142"/>
              <w:jc w:val="both"/>
              <w:rPr/>
            </w:pPr>
            <w:r>
              <w:rPr/>
              <w:t>- Забезпечення участі молоді громади у прийнятті рішень, підвищення рівня активності молоді, її зацікавленості у житті громади;</w:t>
            </w:r>
          </w:p>
          <w:p>
            <w:pPr>
              <w:pStyle w:val="Normal"/>
              <w:tabs>
                <w:tab w:val="clear" w:pos="708"/>
                <w:tab w:val="left" w:pos="142" w:leader="none"/>
              </w:tabs>
              <w:ind w:firstLine="709" w:end="142"/>
              <w:rPr/>
            </w:pPr>
            <w:r>
              <w:rPr/>
              <w:t>- Розширення форм та засобів  комунікації молоді з метою розгляду та вирішення її актуальних проблем (неформальна освіта, становлення особистості, працевлаштування, здоровий спосіб життя, змістовне дозвілля тощо);</w:t>
            </w:r>
          </w:p>
          <w:p>
            <w:pPr>
              <w:pStyle w:val="Normal"/>
              <w:tabs>
                <w:tab w:val="clear" w:pos="708"/>
                <w:tab w:val="left" w:pos="142" w:leader="none"/>
              </w:tabs>
              <w:ind w:firstLine="709" w:end="142"/>
              <w:rPr/>
            </w:pPr>
            <w:r>
              <w:rPr/>
              <w:t>- Покращення обізнаності молоді громади щодо історичних подій та визначних постатей України;</w:t>
            </w:r>
          </w:p>
          <w:p>
            <w:pPr>
              <w:pStyle w:val="Normal"/>
              <w:tabs>
                <w:tab w:val="clear" w:pos="708"/>
                <w:tab w:val="left" w:pos="142" w:leader="none"/>
              </w:tabs>
              <w:ind w:firstLine="709" w:end="142"/>
              <w:rPr/>
            </w:pPr>
            <w:r>
              <w:rPr/>
              <w:t>- Реалізація потенціалу молоді громади у різних сферах суспільного життя;</w:t>
            </w:r>
          </w:p>
          <w:p>
            <w:pPr>
              <w:pStyle w:val="Normal"/>
              <w:tabs>
                <w:tab w:val="clear" w:pos="708"/>
                <w:tab w:val="left" w:pos="142" w:leader="none"/>
              </w:tabs>
              <w:ind w:firstLine="709" w:end="142"/>
              <w:rPr/>
            </w:pPr>
            <w:r>
              <w:rPr/>
              <w:t>- Розвиток та реалізація здібностей обдарованих дітей громади;</w:t>
            </w:r>
          </w:p>
          <w:p>
            <w:pPr>
              <w:pStyle w:val="Normal"/>
              <w:tabs>
                <w:tab w:val="clear" w:pos="708"/>
                <w:tab w:val="left" w:pos="142" w:leader="none"/>
              </w:tabs>
              <w:ind w:firstLine="709" w:end="142"/>
              <w:rPr/>
            </w:pPr>
            <w:r>
              <w:rPr/>
              <w:t xml:space="preserve">- Підвищення рівня громадянської свідомості, активної патріотичної позиції молоді громади.                                             </w:t>
            </w:r>
          </w:p>
          <w:p>
            <w:pPr>
              <w:pStyle w:val="Normal"/>
              <w:tabs>
                <w:tab w:val="clear" w:pos="708"/>
                <w:tab w:val="left" w:pos="1080" w:leader="none"/>
              </w:tabs>
              <w:ind w:firstLine="709" w:end="142"/>
              <w:jc w:val="both"/>
              <w:rPr/>
            </w:pPr>
            <w:r>
              <w:rPr/>
            </w:r>
          </w:p>
          <w:p>
            <w:pPr>
              <w:pStyle w:val="Normal"/>
              <w:ind w:end="142"/>
              <w:rPr/>
            </w:pPr>
            <w:r>
              <w:rPr/>
            </w:r>
          </w:p>
        </w:tc>
      </w:tr>
      <w:tr>
        <w:trPr>
          <w:trHeight w:val="585" w:hRule="atLeast"/>
        </w:trPr>
        <w:tc>
          <w:tcPr>
            <w:tcW w:w="675" w:type="dxa"/>
            <w:tcBorders>
              <w:top w:val="single" w:sz="4" w:space="0" w:color="000000"/>
              <w:start w:val="single" w:sz="6" w:space="0" w:color="000000"/>
              <w:bottom w:val="single" w:sz="6" w:space="0" w:color="000000"/>
            </w:tcBorders>
            <w:shd w:color="auto" w:fill="FFFFFF" w:val="clear"/>
          </w:tcPr>
          <w:p>
            <w:pPr>
              <w:pStyle w:val="Normal"/>
              <w:ind w:end="142"/>
              <w:rPr/>
            </w:pPr>
            <w:r>
              <w:rPr/>
              <w:t>10.</w:t>
            </w:r>
          </w:p>
        </w:tc>
        <w:tc>
          <w:tcPr>
            <w:tcW w:w="3615" w:type="dxa"/>
            <w:tcBorders>
              <w:top w:val="single" w:sz="4" w:space="0" w:color="000000"/>
              <w:start w:val="single" w:sz="6" w:space="0" w:color="000000"/>
              <w:bottom w:val="single" w:sz="6" w:space="0" w:color="000000"/>
            </w:tcBorders>
            <w:shd w:color="auto" w:fill="FFFFFF" w:val="clear"/>
          </w:tcPr>
          <w:p>
            <w:pPr>
              <w:pStyle w:val="Normal"/>
              <w:ind w:end="142"/>
              <w:rPr/>
            </w:pPr>
            <w:r>
              <w:rPr/>
              <w:t>Ключові показники ефективності</w:t>
            </w:r>
          </w:p>
        </w:tc>
        <w:tc>
          <w:tcPr>
            <w:tcW w:w="5483" w:type="dxa"/>
            <w:tcBorders>
              <w:top w:val="single" w:sz="4" w:space="0" w:color="000000"/>
              <w:start w:val="single" w:sz="6" w:space="0" w:color="000000"/>
              <w:bottom w:val="single" w:sz="6" w:space="0" w:color="000000"/>
              <w:end w:val="single" w:sz="6" w:space="0" w:color="000000"/>
            </w:tcBorders>
            <w:shd w:color="auto" w:fill="FFFFFF" w:val="clear"/>
          </w:tcPr>
          <w:p>
            <w:pPr>
              <w:pStyle w:val="Normal"/>
              <w:ind w:end="142"/>
              <w:rPr/>
            </w:pPr>
            <w:r>
              <w:rPr/>
              <w:t>-Витрати на 1 представника молоді громади, залученого до співпраці з міською радою;</w:t>
            </w:r>
          </w:p>
          <w:p>
            <w:pPr>
              <w:pStyle w:val="Normal"/>
              <w:ind w:end="142"/>
              <w:rPr/>
            </w:pPr>
            <w:r>
              <w:rPr/>
              <w:t>- Витрати на 1 представника молоді громади, охопленого роботою молодіжного працівника;</w:t>
            </w:r>
          </w:p>
          <w:p>
            <w:pPr>
              <w:pStyle w:val="Normal"/>
              <w:ind w:end="142"/>
              <w:rPr/>
            </w:pPr>
            <w:r>
              <w:rPr/>
              <w:t>- Витрати на 1 учасника молодіжного заходу;</w:t>
            </w:r>
          </w:p>
          <w:p>
            <w:pPr>
              <w:pStyle w:val="Normal"/>
              <w:ind w:end="142"/>
              <w:rPr/>
            </w:pPr>
            <w:r>
              <w:rPr/>
              <w:t>- Витрати на 1 представника молоді громади, залученого до організації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p>
            <w:pPr>
              <w:pStyle w:val="Normal"/>
              <w:ind w:end="142"/>
              <w:rPr/>
            </w:pPr>
            <w:r>
              <w:rPr/>
              <w:t>- Витрати на 1 представника талановитої молоді та обдарованих дітей громади (виявлених за результатами конкурсу)</w:t>
            </w:r>
          </w:p>
        </w:tc>
      </w:tr>
    </w:tbl>
    <w:p>
      <w:pPr>
        <w:pStyle w:val="ListParagraph"/>
        <w:ind w:start="720" w:end="142"/>
        <w:rPr>
          <w:b/>
        </w:rPr>
      </w:pPr>
      <w:r>
        <w:rPr>
          <w:b/>
        </w:rPr>
      </w:r>
      <w:r>
        <w:br w:type="page"/>
      </w:r>
    </w:p>
    <w:p>
      <w:pPr>
        <w:pStyle w:val="ListParagraph"/>
        <w:spacing w:before="0" w:after="0"/>
        <w:ind w:start="720" w:end="142"/>
        <w:contextualSpacing/>
        <w:rPr>
          <w:b/>
        </w:rPr>
      </w:pPr>
      <w:r>
        <w:rPr>
          <w:b/>
        </w:rPr>
      </w:r>
    </w:p>
    <w:p>
      <w:pPr>
        <w:pStyle w:val="ListParagraph"/>
        <w:numPr>
          <w:ilvl w:val="0"/>
          <w:numId w:val="2"/>
        </w:numPr>
        <w:ind w:hanging="360" w:start="720" w:end="142"/>
        <w:jc w:val="center"/>
        <w:rPr>
          <w:b/>
        </w:rPr>
      </w:pPr>
      <w:r>
        <w:rPr>
          <w:b/>
        </w:rPr>
        <w:t>Визначення  проблем,  на розв’язання яких спрямована Програма</w:t>
      </w:r>
    </w:p>
    <w:p>
      <w:pPr>
        <w:pStyle w:val="Normal"/>
        <w:ind w:end="142"/>
        <w:rPr>
          <w:b/>
        </w:rPr>
      </w:pPr>
      <w:r>
        <w:rPr>
          <w:b/>
        </w:rPr>
      </w:r>
    </w:p>
    <w:p>
      <w:pPr>
        <w:pStyle w:val="Normal"/>
        <w:ind w:firstLine="709" w:end="142"/>
        <w:jc w:val="both"/>
        <w:rPr/>
      </w:pPr>
      <w:r>
        <w:rPr/>
        <w:t xml:space="preserve">Молодь – це важлива соціально-демографічна група, яка відіграє ключову роль у формуванні економічного, соціально-політичного, інтелектуального, гуманітарного потенціалу як держави в цілому, так і Роздільнянської міської територіальної громади. </w:t>
      </w:r>
    </w:p>
    <w:p>
      <w:pPr>
        <w:pStyle w:val="Normal"/>
        <w:ind w:firstLine="709" w:end="142"/>
        <w:jc w:val="both"/>
        <w:rPr/>
      </w:pPr>
      <w:r>
        <w:rPr/>
        <w:t xml:space="preserve">В Концепції Державної цільової соціальної програми «Молодь України: покоління стійкості – 2030» зазначено: «В умовах сучасних викликів, коли багато молодих чоловіків та жінок боронять українську державність, роль молоді набуває особливого значення. З огляду на потребу у зміцненні людського капіталу, захисті суверенітету, повоєнному відновленні та прискоренні економічного зростання держава має зробити одним із фокусів своїх стратегічних завдань забезпечення того, щоб молодь залишилася в Україні та мала перспективи для розвитку в нашій державі». Молодь нашої громади, як і вся українська молодь, опинилася в епіцентрі складних випробувань: збройна агресія російської федерації проти України, пандемія гострої респіраторної хвороби </w:t>
      </w:r>
      <w:r>
        <w:rPr>
          <w:lang w:val="en-US"/>
        </w:rPr>
        <w:t>COVID</w:t>
      </w:r>
      <w:r>
        <w:rPr/>
        <w:t xml:space="preserve">-19, спричиненої коронавірусом </w:t>
      </w:r>
      <w:r>
        <w:rPr>
          <w:lang w:val="en-US"/>
        </w:rPr>
        <w:t>SARS</w:t>
      </w:r>
      <w:r>
        <w:rPr/>
        <w:t>-</w:t>
      </w:r>
      <w:r>
        <w:rPr>
          <w:lang w:val="en-US"/>
        </w:rPr>
        <w:t>CoV</w:t>
      </w:r>
      <w:r>
        <w:rPr/>
        <w:t>-2. Воєнні дії, масова міграція, нестабільність сформували нові умови для усіх сфер життя молоді, вплинули на фізичне і психічне здоров’я та рівень впевненості у майбутньому і заінтересованості у суспільному житті.</w:t>
      </w:r>
    </w:p>
    <w:p>
      <w:pPr>
        <w:pStyle w:val="Normal"/>
        <w:ind w:firstLine="709" w:end="142"/>
        <w:jc w:val="both"/>
        <w:rPr/>
      </w:pPr>
      <w:r>
        <w:rPr/>
        <w:t>Вкрай важливим для нашої громади залишається питання щодо активного залучення молоді до ухвалення рішень, а також процесу формування та реалізації молодіжної політики на місцевому рівні, на що зверталася увага у переглянутій Європейській хартії про участь молоді в місцевому та регіональному рівні, яка була прийнята Конгресом місцевих та регіональних влад Ради Європи.</w:t>
      </w:r>
    </w:p>
    <w:p>
      <w:pPr>
        <w:pStyle w:val="Normal"/>
        <w:ind w:firstLine="709" w:end="142"/>
        <w:jc w:val="both"/>
        <w:rPr>
          <w:shd w:fill="FFFFFF" w:val="clear"/>
        </w:rPr>
      </w:pPr>
      <w:r>
        <w:rPr>
          <w:shd w:fill="FFFFFF" w:val="clear"/>
        </w:rPr>
        <w:t xml:space="preserve">Реформи, що проводяться в Україні, переміщують акцент з централізованого управління на місцеве самоврядування та визначають пріоритет громадського залучення та соціальної активності молоді, у т.ч. формують новий підхід в організації діяльності з молоддю – від «роботи з молоддю» до «молодіжної участі». </w:t>
      </w:r>
    </w:p>
    <w:p>
      <w:pPr>
        <w:pStyle w:val="Normal"/>
        <w:ind w:firstLine="709" w:end="142"/>
        <w:jc w:val="both"/>
        <w:rPr>
          <w:rFonts w:eastAsia="Times New Roman,Bold"/>
        </w:rPr>
      </w:pPr>
      <w:r>
        <w:rPr/>
        <w:t>Відповідно до рішення сесії Роздільнянської міської ради від 23 грудня 2019 року  №2356-VII «</w:t>
      </w:r>
      <w:r>
        <w:rPr>
          <w:rFonts w:eastAsia="Times New Roman,Bold"/>
        </w:rPr>
        <w:t xml:space="preserve">Про затвердження Стратегії соціально-економічного розвитку м. Роздільна з перспективою створення Роздільнянської ОТГ до 2025 року» та згідно з Програмою соціально-економічного та культурного розвитку Роздільнянської міської територіальної громади на 2021-2026 роки однією з операційних цілей </w:t>
      </w:r>
      <w:r>
        <w:rPr/>
        <w:t xml:space="preserve">громади </w:t>
      </w:r>
      <w:r>
        <w:rPr>
          <w:rFonts w:eastAsia="Times New Roman,Bold"/>
        </w:rPr>
        <w:t xml:space="preserve">є реалізація державної молодіжної політики. </w:t>
      </w:r>
    </w:p>
    <w:p>
      <w:pPr>
        <w:pStyle w:val="Normal"/>
        <w:ind w:firstLine="709" w:end="142"/>
        <w:jc w:val="both"/>
        <w:rPr/>
      </w:pPr>
      <w:r>
        <w:rPr/>
        <w:t xml:space="preserve">Забезпечення координації молодіжної роботи та активного залучення молоді до життя громади можливе за умови формування молодіжної інфраструктури у громаді, що передбачає запровадження діяльності молодіжних працівників та у перспективі – створення Молодіжного Центру. Саме Молодіжний центр зосередить необхідні для молоді послуги щодо </w:t>
      </w:r>
      <w:r>
        <w:rPr>
          <w:shd w:fill="FFFFFF" w:val="clear"/>
        </w:rPr>
        <w:t xml:space="preserve">соціалізації та самореалізації молодих жителів громади, всебічного сприяння у навчанні та працевлаштуванні, духовного розвитку молоді та реалізації її творчого потенціалу, національно-патріотичного виховання, розвитку волонтерства, забезпечення </w:t>
      </w:r>
      <w:r>
        <w:rPr/>
        <w:t>громадянської освіти молоді через участь у суспільній діяльності тощо.</w:t>
      </w:r>
    </w:p>
    <w:p>
      <w:pPr>
        <w:pStyle w:val="Normal"/>
        <w:ind w:firstLine="709" w:end="142"/>
        <w:jc w:val="both"/>
        <w:rPr>
          <w:shd w:fill="FFFFFF" w:val="clear"/>
        </w:rPr>
      </w:pPr>
      <w:r>
        <w:rPr/>
        <w:t xml:space="preserve">У Законі України «Про основні засади молодіжної політики» терміни «молодь» та «молоді громадяни» визначаються як громадяни України віком від 14 до 35 років включно. </w:t>
      </w:r>
      <w:r>
        <w:rPr>
          <w:shd w:fill="FFFFFF" w:val="clear"/>
        </w:rPr>
        <w:t>У Роздільнянській міській територіальній громаді станом на сьогодні  зареєстровано 7870 молодих осіб у віці від 14 до 35 років включно, тобто близько чверті усього населення громади. З них:  1072 осіб – учні 7-11 класів загальноосвітніх закладів освіти, інші працюють на території громади та за її межами, є внутрішньо переміщені особи, багато молодих роздільнянців зараз перебувають у лавах Сил Оборони України, є молоді ветерани російсько-української війни, які повернулися з пораненням або інвалідністю та потребують ресоціалізації. Практично всі наші молоді співгромадяни займаються активною волонтерською діяльністю, підтримують армію, ветеранів війни, внутрішньо переміщених осіб, людей з інвалідністю.</w:t>
      </w:r>
    </w:p>
    <w:p>
      <w:pPr>
        <w:pStyle w:val="Normal"/>
        <w:ind w:firstLine="709" w:end="142"/>
        <w:jc w:val="both"/>
        <w:rPr>
          <w:shd w:fill="FFFFFF" w:val="clear"/>
        </w:rPr>
      </w:pPr>
      <w:r>
        <w:rPr>
          <w:shd w:fill="FFFFFF" w:val="clear"/>
        </w:rPr>
        <w:t xml:space="preserve">З метою взаємодії виконавчих органів Роздільнянської міської ради та молоді Роздільнянської міської територіальної громади, забезпечення узгодженості дій у вирішенні питань, пов’язаних із життям молоді та її участю в усіх сферах суспільного життя громади, проведення інформаційно-навчальної роботи серед молоді та консолідації молодіжного руху </w:t>
      </w:r>
      <w:r>
        <w:rPr/>
        <w:t xml:space="preserve">у 2021 році було створено Молодіжну раду при Роздільнянській міській раді – </w:t>
      </w:r>
      <w:r>
        <w:rPr>
          <w:shd w:fill="FFFFFF" w:val="clear"/>
        </w:rPr>
        <w:t>консультативно-дорадчий орган з питань молодіжної політики. У 2025 році на базі Відділу «Центр надання адміністративних послуг» Роздільнянської міської ради організовано Молодіжний  простір «Дія. Молодь».</w:t>
      </w:r>
    </w:p>
    <w:p>
      <w:pPr>
        <w:pStyle w:val="Normal"/>
        <w:ind w:firstLine="709" w:end="142"/>
        <w:jc w:val="both"/>
        <w:rPr>
          <w:shd w:fill="FFFFFF" w:val="clear"/>
        </w:rPr>
      </w:pPr>
      <w:r>
        <w:rPr>
          <w:shd w:fill="FFFFFF" w:val="clear"/>
        </w:rPr>
        <w:t>За даними Центру надання адміністративних послуг, в Роздільнянській міській територіальній громаді проживало зареєстрованої молоді віком від 14 до 35 років включно: у 2022 році – 8309 осіб (з них 5032 чоловіка, 3277 жінок), у 2023 році – 8189 осіб (з них 4918 чоловіків, 3271 жінка), у 2024 році – 8068 осіб (з них 4804 чоловіка, 3264 жінки), у 2025 році – 7870 осіб (з них 4638 чоловіків, 3232 жінки). Прослідковується тенденція до скорочення чисельності молоді у громаді як з традиційних причин (виїзд молодих людей на навчання та у пошуках роботи, переїзд за сімейними обставинами), так і з форс-мажорних причин (загибель воїнів віком до 35 років включно в російсько-українській війні, виїзд молодих матерів з дітьми, юнаків та дівчат за межі територіальної громади, у тому числі за кордон, у зв’язку з російською збройною агресією).</w:t>
      </w:r>
    </w:p>
    <w:p>
      <w:pPr>
        <w:pStyle w:val="Normal"/>
        <w:ind w:firstLine="709" w:end="142"/>
        <w:jc w:val="both"/>
        <w:rPr/>
      </w:pPr>
      <w:r>
        <w:rPr>
          <w:shd w:fill="FFFFFF" w:val="clear"/>
        </w:rPr>
        <w:t>Водночас у гендерному розподілі серед молоді спостерігається перевага чисельності чоловіків над чисельністю жінок практично у всіх вікових категоріях молоді: 14-17 років,18-26 років, 27-35 років. Усі ці категорії мають бути залучені до суспільного життя громади та мати доступ до прийняття рішень, які впливають на їх життя шляхом участі в різноманітних формах здобуття та реалізації громадянських компетентностей: учнівське самоврядування в закладах освіти, участь у дитячих і молодіжних громадських організаціях, у волонтерському русі, членство у молодіжній раді при Роздільнянській міській раді, представництво в депутатському корпусі, робота в громадянських інституціях, неформальна освіта, загальна діяльність на благо громади. У даний час при роботі з молоддю враховуються вимоги щодо гендерної рівності серед учасників процесів, але при цьому існує необхідність додатково посилити увагу до гендерного аспекту реалізації молодіжної політики з метою недопущення гендерних розривів, гендерної дискримінації та порушень прав як жінок, так і чоловіків при здійсненні молодіжної роботи у громаді в цілому.</w:t>
      </w:r>
    </w:p>
    <w:p>
      <w:pPr>
        <w:pStyle w:val="Normal"/>
        <w:ind w:firstLine="709" w:end="142"/>
        <w:jc w:val="both"/>
        <w:rPr>
          <w:rFonts w:eastAsia="Times New Roman,Bold"/>
        </w:rPr>
      </w:pPr>
      <w:r>
        <w:rPr>
          <w:rFonts w:eastAsia="Times New Roman,Bold"/>
        </w:rPr>
        <w:t>Наша молодь – це потужна сила з великим потенціалом, яка має свою специфіку та певні вразливі риси, тому потребує сприяння та підтримки збоку міської ради.</w:t>
      </w:r>
    </w:p>
    <w:p>
      <w:pPr>
        <w:pStyle w:val="Normal"/>
        <w:ind w:end="142"/>
        <w:jc w:val="both"/>
        <w:rPr/>
      </w:pPr>
      <w:r>
        <w:rPr>
          <w:shd w:fill="FFFFFF" w:val="clear"/>
        </w:rPr>
        <w:tab/>
        <w:t>Розроблення Програми зумовлене необхідністю формування актуальної, цілісної молодіжної політики у міській територіальній громаді для забезпечення сприятливих умов для розвитку і самореалізації молоді, формування її громадянської позиції та національно-патріотичної свідомості.</w:t>
      </w:r>
      <w:r>
        <w:rPr/>
        <w:tab/>
      </w:r>
    </w:p>
    <w:p>
      <w:pPr>
        <w:pStyle w:val="Normal"/>
        <w:ind w:firstLine="360" w:end="142"/>
        <w:jc w:val="both"/>
        <w:rPr/>
      </w:pPr>
      <w:r>
        <w:rPr/>
      </w:r>
    </w:p>
    <w:p>
      <w:pPr>
        <w:pStyle w:val="ListParagraph"/>
        <w:numPr>
          <w:ilvl w:val="0"/>
          <w:numId w:val="2"/>
        </w:numPr>
        <w:ind w:hanging="360" w:start="720" w:end="142"/>
        <w:jc w:val="center"/>
        <w:rPr>
          <w:b/>
        </w:rPr>
      </w:pPr>
      <w:r>
        <w:rPr>
          <w:b/>
        </w:rPr>
        <w:t>Мета Програми</w:t>
      </w:r>
    </w:p>
    <w:p>
      <w:pPr>
        <w:pStyle w:val="ListParagraph"/>
        <w:ind w:start="720" w:end="142"/>
        <w:rPr>
          <w:b/>
        </w:rPr>
      </w:pPr>
      <w:r>
        <w:rPr>
          <w:b/>
        </w:rPr>
      </w:r>
    </w:p>
    <w:p>
      <w:pPr>
        <w:pStyle w:val="Style17"/>
        <w:spacing w:before="0" w:after="0"/>
        <w:ind w:hanging="0" w:end="142"/>
        <w:rPr>
          <w:rFonts w:ascii="Times New Roman" w:hAnsi="Times New Roman"/>
          <w:sz w:val="24"/>
          <w:szCs w:val="24"/>
          <w:shd w:fill="FFFFFF" w:val="clear"/>
        </w:rPr>
      </w:pPr>
      <w:r>
        <w:rPr>
          <w:rFonts w:ascii="Times New Roman" w:hAnsi="Times New Roman"/>
          <w:sz w:val="24"/>
          <w:szCs w:val="24"/>
          <w:shd w:fill="FFFFFF" w:val="clear"/>
        </w:rPr>
        <w:tab/>
        <w:t>Метою Програми є формування у молоді Роздільнянської міської територіальної громади як стратегічної складової людського капіталу України і громади відчуття належності до українського суспільства, розвиток її життєстійкості та створення можливостей для особистісної самореалізації, забезпечення сприятливих умов</w:t>
      </w:r>
      <w:r>
        <w:rPr>
          <w:rStyle w:val="rvts0"/>
          <w:rFonts w:eastAsia="" w:ascii="Times New Roman" w:hAnsi="Times New Roman" w:eastAsiaTheme="majorEastAsia"/>
          <w:sz w:val="24"/>
          <w:szCs w:val="24"/>
        </w:rPr>
        <w:t xml:space="preserve"> для участі та інтеграції у життя громади, зростання національної свідомості на основі суспільно-державних цінностей та відповідального громадянства, успішної соціалізації молоді, підвищення рівня громадянських компетентностей, спроможності бути самостійними, активними, патріотичними і відповідальними учасниками суспільних процесів.</w:t>
      </w:r>
    </w:p>
    <w:p>
      <w:pPr>
        <w:pStyle w:val="Normal"/>
        <w:tabs>
          <w:tab w:val="clear" w:pos="708"/>
          <w:tab w:val="left" w:pos="9354" w:leader="none"/>
        </w:tabs>
        <w:ind w:firstLine="709" w:end="142"/>
        <w:jc w:val="both"/>
        <w:rPr/>
      </w:pPr>
      <w:r>
        <w:rPr/>
      </w:r>
    </w:p>
    <w:p>
      <w:pPr>
        <w:pStyle w:val="BodyText"/>
        <w:numPr>
          <w:ilvl w:val="0"/>
          <w:numId w:val="1"/>
        </w:numPr>
        <w:tabs>
          <w:tab w:val="clear" w:pos="708"/>
          <w:tab w:val="left" w:pos="0" w:leader="none"/>
        </w:tabs>
        <w:ind w:hanging="360" w:start="644" w:end="142"/>
        <w:jc w:val="center"/>
        <w:rPr>
          <w:b/>
          <w:sz w:val="24"/>
        </w:rPr>
      </w:pPr>
      <w:r>
        <w:rPr>
          <w:b/>
          <w:sz w:val="24"/>
        </w:rPr>
        <w:t>Обґрунтування засобів розв’язання проблеми, завдань і заходів, показників результативності</w:t>
      </w:r>
    </w:p>
    <w:p>
      <w:pPr>
        <w:pStyle w:val="BodyText"/>
        <w:tabs>
          <w:tab w:val="clear" w:pos="708"/>
          <w:tab w:val="left" w:pos="0" w:leader="none"/>
        </w:tabs>
        <w:ind w:start="720" w:end="142"/>
        <w:rPr>
          <w:b/>
          <w:sz w:val="24"/>
        </w:rPr>
      </w:pPr>
      <w:r>
        <w:rPr>
          <w:b/>
          <w:sz w:val="24"/>
        </w:rPr>
      </w:r>
    </w:p>
    <w:p>
      <w:pPr>
        <w:pStyle w:val="Normal"/>
        <w:tabs>
          <w:tab w:val="clear" w:pos="708"/>
          <w:tab w:val="left" w:pos="9354" w:leader="none"/>
        </w:tabs>
        <w:ind w:firstLine="709" w:end="142"/>
        <w:jc w:val="both"/>
        <w:rPr/>
      </w:pPr>
      <w:r>
        <w:rPr/>
        <w:t>Основними шляхами і засобами розв’язання проблеми реалізації молодіжної політики на місцевому рівні є:</w:t>
      </w:r>
    </w:p>
    <w:p>
      <w:pPr>
        <w:pStyle w:val="Normal"/>
        <w:tabs>
          <w:tab w:val="clear" w:pos="708"/>
          <w:tab w:val="left" w:pos="9354" w:leader="none"/>
        </w:tabs>
        <w:ind w:firstLine="709" w:end="142"/>
        <w:jc w:val="both"/>
        <w:rPr/>
      </w:pPr>
      <w:r>
        <w:rPr/>
        <w:t xml:space="preserve">- спільна та скоординована діяльність органу місцевого самоврядування, його структурних підрозділів, що працюють з молоддю, з інститутами громадянського суспільства: </w:t>
      </w:r>
    </w:p>
    <w:p>
      <w:pPr>
        <w:pStyle w:val="Normal"/>
        <w:tabs>
          <w:tab w:val="clear" w:pos="708"/>
          <w:tab w:val="left" w:pos="9354" w:leader="none"/>
        </w:tabs>
        <w:ind w:end="142"/>
        <w:jc w:val="both"/>
        <w:rPr/>
      </w:pPr>
      <w:r>
        <w:rPr/>
        <w:t>молодіжними та дитячими громадськими організаціями, волонтерами, за безпосередньої участі молоді;</w:t>
      </w:r>
    </w:p>
    <w:p>
      <w:pPr>
        <w:pStyle w:val="Normal"/>
        <w:tabs>
          <w:tab w:val="clear" w:pos="708"/>
          <w:tab w:val="left" w:pos="9354" w:leader="none"/>
        </w:tabs>
        <w:ind w:firstLine="709" w:end="142"/>
        <w:jc w:val="both"/>
        <w:rPr/>
      </w:pPr>
      <w:r>
        <w:rPr/>
        <w:t>- піднесення ролі молоді у суспільно-політичному житті, підтримка її ініціатив та використання її потенціалу у розбудові громади;</w:t>
      </w:r>
    </w:p>
    <w:p>
      <w:pPr>
        <w:pStyle w:val="Normal"/>
        <w:tabs>
          <w:tab w:val="clear" w:pos="708"/>
          <w:tab w:val="left" w:pos="9354" w:leader="none"/>
        </w:tabs>
        <w:ind w:firstLine="709" w:end="142"/>
        <w:jc w:val="both"/>
        <w:rPr/>
      </w:pPr>
      <w:r>
        <w:rPr/>
        <w:t>- формування патріотичної свідомості, позитивної соціальної поведінки молоді громади, сприяння її самореалізації;</w:t>
      </w:r>
    </w:p>
    <w:p>
      <w:pPr>
        <w:pStyle w:val="Normal"/>
        <w:tabs>
          <w:tab w:val="clear" w:pos="708"/>
          <w:tab w:val="left" w:pos="9354" w:leader="none"/>
        </w:tabs>
        <w:ind w:firstLine="709" w:end="142"/>
        <w:jc w:val="both"/>
        <w:rPr>
          <w:shd w:fill="FFFFFF" w:val="clear"/>
        </w:rPr>
      </w:pPr>
      <w:r>
        <w:rPr/>
        <w:t>- забезпечення функціонування діючих об’єктів молодіжної інфраструктури (Молодіжна рада при Роздільнянській міській раді, Молодіжний простір «Дія. Молодь») та її подальший розвиток (</w:t>
      </w:r>
      <w:r>
        <w:rPr>
          <w:shd w:fill="FFFFFF" w:val="clear"/>
        </w:rPr>
        <w:t>створення у перспективі молодіжного центру, запровадження діяльності молодіжних працівників).</w:t>
      </w:r>
    </w:p>
    <w:p>
      <w:pPr>
        <w:pStyle w:val="Normal"/>
        <w:tabs>
          <w:tab w:val="clear" w:pos="708"/>
          <w:tab w:val="left" w:pos="9354" w:leader="none"/>
        </w:tabs>
        <w:ind w:firstLine="709" w:end="142"/>
        <w:jc w:val="both"/>
        <w:rPr/>
      </w:pPr>
      <w:r>
        <w:rPr/>
        <w:t>До напрямів діяльності Програми належать: формування активних соціальних та громадянських компетентностей молоді; фінансова підтримка громадських організацій молодіж</w:t>
      </w:r>
      <w:r>
        <w:rPr>
          <w:lang w:val="ru-RU"/>
        </w:rPr>
        <w:t xml:space="preserve">ного спрямування; </w:t>
      </w:r>
      <w:r>
        <w:rPr/>
        <w:t>підвищення привабливості громади для молоді.</w:t>
      </w:r>
    </w:p>
    <w:p>
      <w:pPr>
        <w:pStyle w:val="Normal"/>
        <w:spacing w:beforeAutospacing="1" w:afterAutospacing="1"/>
        <w:ind w:firstLine="567" w:start="57" w:end="142"/>
        <w:jc w:val="both"/>
        <w:rPr/>
      </w:pPr>
      <w:r>
        <w:rPr/>
        <w:t xml:space="preserve">Фінансова підтримка надається громадським організаціям молодіжного спрямування, іншим громадським організаціям, які у плані роботи передбачають проведення заходів із залученням дітей, юнацтва та молоді. Рішення про надання такої підтримки приймається робочою комісією у складі </w:t>
      </w:r>
      <w:r>
        <w:rPr>
          <w:rStyle w:val="Emphasis"/>
          <w:bCs/>
          <w:i w:val="false"/>
        </w:rPr>
        <w:t>заступника міського голови з питань діяльності виконавчих органів ради (соціальний напрямок), начальника фінансового управління</w:t>
      </w:r>
      <w:r>
        <w:rPr/>
        <w:t xml:space="preserve">, начальника відділу молоді та спорту Роздільнянської міської ради. Для отримання фінансової підтримки    зазначені організації надають Відповідальному виконавцю Програми копії правоустановчих документів, обгрунтування необхідності фінансування та розрахунки потреби у коштах. </w:t>
      </w:r>
    </w:p>
    <w:p>
      <w:pPr>
        <w:pStyle w:val="Normal"/>
        <w:ind w:firstLine="709" w:end="142"/>
        <w:jc w:val="both"/>
        <w:rPr/>
      </w:pPr>
      <w:r>
        <w:rPr/>
        <w:t>Завданнями Програми є:</w:t>
      </w:r>
    </w:p>
    <w:p>
      <w:pPr>
        <w:pStyle w:val="Normal"/>
        <w:tabs>
          <w:tab w:val="clear" w:pos="708"/>
          <w:tab w:val="left" w:pos="142" w:leader="none"/>
        </w:tabs>
        <w:ind w:end="142"/>
        <w:jc w:val="both"/>
        <w:rPr>
          <w:color w:themeColor="text1" w:val="000000"/>
        </w:rPr>
      </w:pPr>
      <w:r>
        <w:rPr/>
        <w:t>-</w:t>
      </w:r>
      <w:r>
        <w:rPr>
          <w:color w:themeColor="text1" w:val="000000"/>
        </w:rPr>
        <w:t xml:space="preserve"> Створити умови для участі молоді громади у суспільному житті, забезпечення її доступу до прийняття рішень; </w:t>
      </w:r>
    </w:p>
    <w:p>
      <w:pPr>
        <w:pStyle w:val="Normal"/>
        <w:tabs>
          <w:tab w:val="clear" w:pos="708"/>
          <w:tab w:val="left" w:pos="142" w:leader="none"/>
        </w:tabs>
        <w:ind w:end="142"/>
        <w:jc w:val="both"/>
        <w:rPr>
          <w:color w:themeColor="text1" w:val="000000"/>
        </w:rPr>
      </w:pPr>
      <w:r>
        <w:rPr>
          <w:bCs/>
        </w:rPr>
        <w:t>- Розвивати співпрацю Роздільнянської міської ради з усіма суб’єктами молодіжної роботи у громаді;</w:t>
      </w:r>
    </w:p>
    <w:p>
      <w:pPr>
        <w:pStyle w:val="12"/>
        <w:spacing w:lineRule="auto" w:line="240" w:before="0" w:after="0"/>
        <w:ind w:end="142"/>
        <w:jc w:val="both"/>
        <w:rPr>
          <w:bCs/>
        </w:rPr>
      </w:pPr>
      <w:r>
        <w:rPr>
          <w:rFonts w:ascii="Times New Roman" w:hAnsi="Times New Roman"/>
          <w:sz w:val="24"/>
          <w:szCs w:val="24"/>
        </w:rPr>
        <w:t>- Забезпечити безбар’єрний та інклюзивний розвиток для всіх категорій молоді;</w:t>
      </w:r>
    </w:p>
    <w:p>
      <w:pPr>
        <w:pStyle w:val="12"/>
        <w:spacing w:lineRule="auto" w:line="240" w:before="0" w:after="0"/>
        <w:ind w:end="142"/>
        <w:jc w:val="both"/>
        <w:rPr>
          <w:bCs/>
        </w:rPr>
      </w:pPr>
      <w:r>
        <w:rPr>
          <w:rFonts w:eastAsia="Times New Roman" w:ascii="Times New Roman" w:hAnsi="Times New Roman"/>
          <w:color w:val="000000"/>
          <w:sz w:val="24"/>
          <w:szCs w:val="24"/>
        </w:rPr>
        <w:t>- Створити умови для реалізації молодіжного потенціалу, забезпечення мотивації для самовдосконалення, творчого та професійного розвитку особистості;</w:t>
      </w:r>
    </w:p>
    <w:p>
      <w:pPr>
        <w:pStyle w:val="Normal"/>
        <w:tabs>
          <w:tab w:val="clear" w:pos="708"/>
          <w:tab w:val="left" w:pos="142" w:leader="none"/>
        </w:tabs>
        <w:ind w:end="142"/>
        <w:jc w:val="both"/>
        <w:rPr/>
      </w:pPr>
      <w:r>
        <w:rPr/>
        <w:t>- Здійснювати роботу з формування та утвердження української національної та громадянської ідентичності.</w:t>
      </w:r>
    </w:p>
    <w:p>
      <w:pPr>
        <w:pStyle w:val="Normal"/>
        <w:tabs>
          <w:tab w:val="clear" w:pos="708"/>
          <w:tab w:val="left" w:pos="142" w:leader="none"/>
        </w:tabs>
        <w:ind w:end="142"/>
        <w:jc w:val="both"/>
        <w:rPr/>
      </w:pPr>
      <w:r>
        <w:rPr/>
        <w:t xml:space="preserve"> </w:t>
      </w:r>
      <w:r>
        <w:rPr/>
        <w:t>Усі завдання та заходи Програми проводитимуться з дотриманням вимог щодо гендерної рівності та безбар’єрного доступу молоді до участі в суспільному житті громади.</w:t>
      </w:r>
    </w:p>
    <w:p>
      <w:pPr>
        <w:pStyle w:val="Normal"/>
        <w:tabs>
          <w:tab w:val="clear" w:pos="708"/>
          <w:tab w:val="left" w:pos="142" w:leader="none"/>
        </w:tabs>
        <w:ind w:end="142"/>
        <w:jc w:val="both"/>
        <w:rPr/>
      </w:pPr>
      <w:r>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firstLine="709" w:end="142"/>
        <w:rPr/>
      </w:pPr>
      <w:r>
        <w:rPr/>
        <w:t>Завдання та заходи Програми наведено в додатку 1 до Програми.</w:t>
      </w:r>
    </w:p>
    <w:p>
      <w:pPr>
        <w:pStyle w:val="Normal"/>
        <w:tabs>
          <w:tab w:val="clear" w:pos="708"/>
          <w:tab w:val="left" w:pos="142" w:leader="none"/>
        </w:tabs>
        <w:ind w:end="142"/>
        <w:rPr/>
      </w:pPr>
      <w:r>
        <w:rPr/>
      </w:r>
    </w:p>
    <w:p>
      <w:pPr>
        <w:pStyle w:val="Normal"/>
        <w:tabs>
          <w:tab w:val="clear" w:pos="708"/>
          <w:tab w:val="left" w:pos="142" w:leader="none"/>
        </w:tabs>
        <w:ind w:end="142"/>
        <w:rPr/>
      </w:pPr>
      <w:r>
        <w:rPr/>
        <w:tab/>
        <w:tab/>
        <w:t>Показники результативності Програми наведені в додатку 2 до Програми.</w:t>
      </w:r>
    </w:p>
    <w:p>
      <w:pPr>
        <w:pStyle w:val="ListParagraph"/>
        <w:numPr>
          <w:ilvl w:val="0"/>
          <w:numId w:val="1"/>
        </w:numPr>
        <w:spacing w:beforeAutospacing="1" w:afterAutospacing="1"/>
        <w:ind w:hanging="360" w:start="644" w:end="142"/>
        <w:contextualSpacing/>
        <w:jc w:val="center"/>
        <w:rPr/>
      </w:pPr>
      <w:r>
        <w:rPr>
          <w:b/>
          <w:bCs/>
        </w:rPr>
        <w:t>Очікувані результати виконання Програми</w:t>
      </w:r>
    </w:p>
    <w:p>
      <w:pPr>
        <w:pStyle w:val="Normal"/>
        <w:tabs>
          <w:tab w:val="clear" w:pos="708"/>
          <w:tab w:val="left" w:pos="1080" w:leader="none"/>
        </w:tabs>
        <w:ind w:firstLine="709" w:end="142"/>
        <w:jc w:val="both"/>
        <w:rPr/>
      </w:pPr>
      <w:r>
        <w:rPr/>
        <w:t>Виконання Програми дасть можливість:</w:t>
      </w:r>
    </w:p>
    <w:p>
      <w:pPr>
        <w:pStyle w:val="Normal"/>
        <w:tabs>
          <w:tab w:val="clear" w:pos="708"/>
          <w:tab w:val="left" w:pos="1080" w:leader="none"/>
        </w:tabs>
        <w:ind w:firstLine="709" w:end="142"/>
        <w:jc w:val="both"/>
        <w:rPr/>
      </w:pPr>
      <w:r>
        <w:rPr/>
        <w:t xml:space="preserve">• </w:t>
      </w:r>
      <w:r>
        <w:rPr/>
        <w:t>у 2026 році, у 2027 році, у 2028 році, а також після її закінчення:</w:t>
      </w:r>
    </w:p>
    <w:p>
      <w:pPr>
        <w:pStyle w:val="Normal"/>
        <w:tabs>
          <w:tab w:val="clear" w:pos="708"/>
          <w:tab w:val="left" w:pos="1080" w:leader="none"/>
        </w:tabs>
        <w:ind w:firstLine="709" w:end="142"/>
        <w:jc w:val="both"/>
        <w:rPr/>
      </w:pPr>
      <w:bookmarkStart w:id="1" w:name="_Hlk213938389"/>
      <w:bookmarkStart w:id="2" w:name="_Hlk213938040"/>
      <w:r>
        <w:rPr/>
        <w:t>- Забезпечити участь молоді громади у прийнятті рішень та скоординовану діяльність органу місцевого самоврядування та консультативно-дорадчого органу з питань молодіжної політики;</w:t>
      </w:r>
    </w:p>
    <w:p>
      <w:pPr>
        <w:pStyle w:val="Normal"/>
        <w:tabs>
          <w:tab w:val="clear" w:pos="708"/>
          <w:tab w:val="left" w:pos="1080" w:leader="none"/>
        </w:tabs>
        <w:ind w:firstLine="709" w:end="142"/>
        <w:jc w:val="both"/>
        <w:rPr/>
      </w:pPr>
      <w:r>
        <w:rPr/>
        <w:t>- Підтримати розвиток  молодіжної інфраструктури  у громаді;</w:t>
      </w:r>
    </w:p>
    <w:p>
      <w:pPr>
        <w:pStyle w:val="Normal"/>
        <w:tabs>
          <w:tab w:val="clear" w:pos="708"/>
          <w:tab w:val="left" w:pos="1080" w:leader="none"/>
        </w:tabs>
        <w:ind w:firstLine="709" w:end="142"/>
        <w:jc w:val="both"/>
        <w:rPr/>
      </w:pPr>
      <w:r>
        <w:rPr/>
        <w:t>- Підвищити рівень охоплення молодих мешканців громади молодіжною роботою різних напрямків;</w:t>
      </w:r>
    </w:p>
    <w:p>
      <w:pPr>
        <w:pStyle w:val="Normal"/>
        <w:tabs>
          <w:tab w:val="clear" w:pos="708"/>
          <w:tab w:val="left" w:pos="1080" w:leader="none"/>
        </w:tabs>
        <w:ind w:firstLine="709" w:end="142"/>
        <w:jc w:val="both"/>
        <w:rPr/>
      </w:pPr>
      <w:r>
        <w:rPr/>
        <w:t>- Забезпечити скоординовану діяльність органу місцевого самоврядування з громадськими об’єднаннями  у молодіжній сфері;</w:t>
      </w:r>
    </w:p>
    <w:p>
      <w:pPr>
        <w:pStyle w:val="Normal"/>
        <w:tabs>
          <w:tab w:val="clear" w:pos="708"/>
          <w:tab w:val="left" w:pos="1080" w:leader="none"/>
        </w:tabs>
        <w:ind w:firstLine="709" w:end="142"/>
        <w:jc w:val="both"/>
        <w:rPr/>
      </w:pPr>
      <w:r>
        <w:rPr/>
        <w:t>-  Забезпечити участь молоді громади у прийнятті рішень, підвищити рівень активності молоді, її зацікавленості у житті громади;</w:t>
      </w:r>
    </w:p>
    <w:p>
      <w:pPr>
        <w:pStyle w:val="Normal"/>
        <w:tabs>
          <w:tab w:val="clear" w:pos="708"/>
          <w:tab w:val="left" w:pos="142" w:leader="none"/>
        </w:tabs>
        <w:ind w:firstLine="709" w:end="142"/>
        <w:rPr/>
      </w:pPr>
      <w:r>
        <w:rPr/>
        <w:t>- Розширити форми та засоби  комунікації молоді з метою розгляду та вирішення її актуальних проблем (неформальна освіта, становлення особистості, працевлаштування, здоровий спосіб життя, змістовне дозвілля тощо);</w:t>
      </w:r>
    </w:p>
    <w:p>
      <w:pPr>
        <w:pStyle w:val="Normal"/>
        <w:tabs>
          <w:tab w:val="clear" w:pos="708"/>
          <w:tab w:val="left" w:pos="142" w:leader="none"/>
        </w:tabs>
        <w:ind w:firstLine="709" w:end="142"/>
        <w:rPr/>
      </w:pPr>
      <w:r>
        <w:rPr/>
        <w:t>- Покращити обізнаність молоді громади щодо історичних подій та визначних постатей України;</w:t>
      </w:r>
    </w:p>
    <w:p>
      <w:pPr>
        <w:pStyle w:val="Normal"/>
        <w:tabs>
          <w:tab w:val="clear" w:pos="708"/>
          <w:tab w:val="left" w:pos="142" w:leader="none"/>
        </w:tabs>
        <w:ind w:firstLine="709" w:end="142"/>
        <w:rPr/>
      </w:pPr>
      <w:r>
        <w:rPr/>
        <w:t>- Сприяти реалізації потенціалу молоді громади у різних сферах суспільного життя;</w:t>
      </w:r>
    </w:p>
    <w:p>
      <w:pPr>
        <w:pStyle w:val="Normal"/>
        <w:tabs>
          <w:tab w:val="clear" w:pos="708"/>
          <w:tab w:val="left" w:pos="142" w:leader="none"/>
        </w:tabs>
        <w:ind w:firstLine="709" w:end="142"/>
        <w:rPr/>
      </w:pPr>
      <w:r>
        <w:rPr/>
        <w:t>- Сприяти розвитку та реалізації здібностей обдарованих дітей громади;</w:t>
      </w:r>
    </w:p>
    <w:p>
      <w:pPr>
        <w:pStyle w:val="Normal"/>
        <w:tabs>
          <w:tab w:val="clear" w:pos="708"/>
          <w:tab w:val="left" w:pos="142" w:leader="none"/>
        </w:tabs>
        <w:ind w:firstLine="709" w:end="142"/>
        <w:rPr/>
      </w:pPr>
      <w:bookmarkStart w:id="3" w:name="_Hlk213938389"/>
      <w:bookmarkStart w:id="4" w:name="_Hlk213938040"/>
      <w:r>
        <w:rPr/>
        <w:t xml:space="preserve">- Підвищити рівень громадянської свідомості, активної патріотичної позиції молоді громади.                                            </w:t>
      </w:r>
      <w:bookmarkEnd w:id="3"/>
      <w:bookmarkEnd w:id="4"/>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firstLine="709" w:end="142"/>
        <w:jc w:val="center"/>
        <w:rPr>
          <w:b/>
          <w:bCs/>
        </w:rPr>
      </w:pPr>
      <w:r>
        <w:rPr>
          <w:b/>
          <w:bCs/>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firstLine="709" w:end="142"/>
        <w:jc w:val="center"/>
        <w:rPr>
          <w:b/>
          <w:bCs/>
        </w:rPr>
      </w:pPr>
      <w:r>
        <w:rPr>
          <w:b/>
          <w:bCs/>
        </w:rPr>
        <w:t>6. Обсяги та джерела фінансування Програми</w:t>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firstLine="709" w:end="142"/>
        <w:jc w:val="center"/>
        <w:rPr>
          <w:b/>
          <w:bCs/>
        </w:rPr>
      </w:pPr>
      <w:r>
        <w:rPr>
          <w:b/>
          <w:bCs/>
        </w:rPr>
      </w:r>
    </w:p>
    <w:p>
      <w:pPr>
        <w:pStyle w:val="Normal"/>
        <w:jc w:val="both"/>
        <w:rPr/>
      </w:pPr>
      <w:r>
        <w:rPr/>
        <w:t xml:space="preserve">           </w:t>
      </w:r>
      <w:r>
        <w:rPr/>
        <w:t>Фінансування Програми здійснюється за рахунок коштів місцевого бюджету, які передбачаються для виконання програм і заходів з реалізації молодіжної політики у Роздільнянській територіальній громаді, а також за рахунок інших джерел, не заборонених законодавством, враховуючи власні ресурси громадських молодіжних організацій, підприємств і організацій різних форм власності, вітчизняних та іноземних інвесторів, спонсорів, власні кошти громадян.</w:t>
      </w:r>
    </w:p>
    <w:p>
      <w:pPr>
        <w:pStyle w:val="Normal"/>
        <w:jc w:val="both"/>
        <w:rPr/>
      </w:pPr>
      <w:r>
        <w:rPr/>
        <w:t xml:space="preserve">Обсяги видатків місцевого бюджету на виконання Програми щорічно визначаються у межах кошторисних бюджетних призначень на відповідні роки. </w:t>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firstLine="720" w:end="142"/>
        <w:jc w:val="both"/>
        <w:rPr/>
      </w:pPr>
      <w:r>
        <w:rPr/>
        <w:t>Ресурсне забезпечення Програми наведено в додатку 3 до Програми.</w:t>
      </w:r>
    </w:p>
    <w:p>
      <w:pPr>
        <w:pStyle w:val="Style17"/>
        <w:spacing w:before="0" w:after="0"/>
        <w:ind w:firstLine="567" w:end="142"/>
        <w:rPr>
          <w:rFonts w:ascii="Times New Roman" w:hAnsi="Times New Roman"/>
          <w:sz w:val="24"/>
          <w:szCs w:val="24"/>
        </w:rPr>
      </w:pPr>
      <w:r>
        <w:rPr>
          <w:rFonts w:ascii="Times New Roman" w:hAnsi="Times New Roman"/>
          <w:sz w:val="24"/>
          <w:szCs w:val="24"/>
        </w:rPr>
      </w:r>
    </w:p>
    <w:p>
      <w:pPr>
        <w:pStyle w:val="Style17"/>
        <w:spacing w:before="0" w:after="0"/>
        <w:ind w:firstLine="567" w:end="142"/>
        <w:rPr>
          <w:rFonts w:ascii="Times New Roman" w:hAnsi="Times New Roman"/>
          <w:sz w:val="24"/>
          <w:szCs w:val="24"/>
        </w:rPr>
      </w:pPr>
      <w:r>
        <w:rPr>
          <w:rFonts w:ascii="Times New Roman" w:hAnsi="Times New Roman"/>
          <w:sz w:val="24"/>
          <w:szCs w:val="24"/>
        </w:rPr>
      </w:r>
    </w:p>
    <w:p>
      <w:pPr>
        <w:pStyle w:val="ListParagraph"/>
        <w:numPr>
          <w:ilvl w:val="0"/>
          <w:numId w:val="3"/>
        </w:numPr>
        <w:ind w:hanging="360" w:start="360" w:end="142"/>
        <w:jc w:val="center"/>
        <w:rPr>
          <w:b/>
        </w:rPr>
      </w:pPr>
      <w:r>
        <w:rPr>
          <w:b/>
        </w:rPr>
        <w:t>Строки та етапи виконання Програми</w:t>
      </w:r>
    </w:p>
    <w:p>
      <w:pPr>
        <w:pStyle w:val="Normal"/>
        <w:ind w:start="360" w:end="142"/>
        <w:rPr>
          <w:b/>
        </w:rPr>
      </w:pPr>
      <w:r>
        <w:rPr>
          <w:b/>
        </w:rPr>
      </w:r>
    </w:p>
    <w:p>
      <w:pPr>
        <w:pStyle w:val="Normal"/>
        <w:ind w:start="360" w:end="142"/>
        <w:rPr>
          <w:b/>
        </w:rPr>
      </w:pPr>
      <w:r>
        <w:rPr/>
        <w:t>Програма реалізовується в один етап протягом 2026-2028 років.</w:t>
      </w:r>
    </w:p>
    <w:p>
      <w:pPr>
        <w:pStyle w:val="Normal"/>
        <w:ind w:start="360" w:end="142"/>
        <w:rPr>
          <w:b/>
        </w:rPr>
      </w:pPr>
      <w:r>
        <w:rPr>
          <w:b/>
        </w:rPr>
      </w:r>
    </w:p>
    <w:p>
      <w:pPr>
        <w:pStyle w:val="ListParagraph"/>
        <w:numPr>
          <w:ilvl w:val="0"/>
          <w:numId w:val="3"/>
        </w:numPr>
        <w:ind w:hanging="360" w:start="360" w:end="142"/>
        <w:jc w:val="center"/>
        <w:rPr>
          <w:b/>
        </w:rPr>
      </w:pPr>
      <w:bookmarkStart w:id="5" w:name="_Hlk212623891"/>
      <w:bookmarkEnd w:id="5"/>
      <w:r>
        <w:rPr>
          <w:b/>
        </w:rPr>
        <w:t>Координація та контроль за ходом виконання Програми</w:t>
      </w:r>
    </w:p>
    <w:p>
      <w:pPr>
        <w:pStyle w:val="ListParagraph"/>
        <w:ind w:firstLine="709" w:start="0"/>
        <w:jc w:val="both"/>
        <w:rPr/>
      </w:pPr>
      <w:r>
        <w:rPr/>
        <w:t xml:space="preserve">Відповідальним виконавцем і координатором Програми є Відділ молоді та спорту Роздільнянської міської ради, який здійснює погодження дій між виконавцями Програми та контролює її виконання, визначає порядок взаємного інформування (із зазначенням конкретних строків), інших виконавців Програми. Співвиконавцями Програми є Відділ освіти, Відділ  культури, Відділ соціальної політики, Служба у справах дітей Роздільнянської міської ради. </w:t>
      </w:r>
    </w:p>
    <w:p>
      <w:pPr>
        <w:pStyle w:val="ListParagraph"/>
        <w:ind w:firstLine="709" w:start="0"/>
        <w:jc w:val="both"/>
        <w:rPr/>
      </w:pPr>
      <w:r>
        <w:rPr/>
        <w:t xml:space="preserve">Заходи Програми виконуються Відповідальним виконавцем у співпраці з усіма співвиконавцями, Молодіжною радою при Роздільнянській міській раді, із залученням у разі потреби причетних структур, комунальних закладів, громадських організацій Роздільнянської міської територіальної громади. </w:t>
      </w:r>
    </w:p>
    <w:p>
      <w:pPr>
        <w:pStyle w:val="ListParagraph"/>
        <w:ind w:firstLine="709" w:start="0"/>
        <w:jc w:val="both"/>
        <w:rPr/>
      </w:pPr>
      <w:r>
        <w:rPr/>
        <w:t>Відділ молоді та спорту Роздільнянської міської ради періодично, але не менш як два рази на рік, інформує територіальну громаду про виконання Програми на офіційному веб сайті  Роздільнянської міської ради.</w:t>
      </w:r>
    </w:p>
    <w:p>
      <w:pPr>
        <w:pStyle w:val="ListParagraph"/>
        <w:ind w:firstLine="709" w:start="0"/>
        <w:jc w:val="both"/>
        <w:rPr/>
      </w:pPr>
      <w:r>
        <w:rPr/>
        <w:t xml:space="preserve">Контроль за виконанням Програми здійснює Роздільнянська міська рада. </w:t>
      </w:r>
    </w:p>
    <w:p>
      <w:pPr>
        <w:pStyle w:val="ListParagraph"/>
        <w:ind w:firstLine="709" w:start="0"/>
        <w:jc w:val="both"/>
        <w:rPr/>
      </w:pPr>
      <w:r>
        <w:rPr/>
        <w:t>Відділ молоді та спорту щорічно звітує про виконання Програми на сесії Роздільнянської міської ради. При підготовці звіту враховується та узагальнюється інформація, отримана від усіх виконавців Програми.</w:t>
      </w:r>
    </w:p>
    <w:p>
      <w:pPr>
        <w:pStyle w:val="ListParagraph"/>
        <w:ind w:firstLine="709" w:start="0"/>
        <w:jc w:val="both"/>
        <w:rPr/>
      </w:pPr>
      <w:r>
        <w:rPr/>
        <w:t>Щорічні та підсумковий звіти про виконання завдань і заходів Програми подаються на розгляд Роздільнянської міської ради не пізніше 1 кварталу року, що настає за звітним періодом.</w:t>
      </w:r>
    </w:p>
    <w:p>
      <w:pPr>
        <w:pStyle w:val="ListParagraph"/>
        <w:ind w:start="0"/>
        <w:jc w:val="both"/>
        <w:rPr/>
      </w:pPr>
      <w:r>
        <w:rPr/>
      </w:r>
    </w:p>
    <w:p>
      <w:pPr>
        <w:pStyle w:val="ListParagraph"/>
        <w:ind w:start="0"/>
        <w:jc w:val="both"/>
        <w:rPr/>
      </w:pPr>
      <w:r>
        <w:rPr/>
      </w:r>
    </w:p>
    <w:p>
      <w:pPr>
        <w:pStyle w:val="ListParagraph"/>
        <w:ind w:start="0"/>
        <w:jc w:val="both"/>
        <w:rPr/>
      </w:pPr>
      <w:r>
        <w:rPr/>
      </w:r>
    </w:p>
    <w:p>
      <w:pPr>
        <w:pStyle w:val="ListParagraph"/>
        <w:ind w:start="0"/>
        <w:jc w:val="both"/>
        <w:rPr/>
      </w:pPr>
      <w:r>
        <w:rPr/>
      </w:r>
    </w:p>
    <w:p>
      <w:pPr>
        <w:pStyle w:val="Normal"/>
        <w:tabs>
          <w:tab w:val="clear" w:pos="708"/>
          <w:tab w:val="left" w:pos="1260" w:leader="none"/>
          <w:tab w:val="left" w:pos="14656" w:leader="none"/>
        </w:tabs>
        <w:ind w:start="3060" w:end="-10"/>
        <w:rPr/>
      </w:pPr>
      <w:r>
        <w:rPr/>
        <w:t xml:space="preserve">                                                                                                                                                                                                  </w:t>
      </w:r>
    </w:p>
    <w:p>
      <w:pPr>
        <w:pStyle w:val="Normal"/>
        <w:tabs>
          <w:tab w:val="clear" w:pos="708"/>
          <w:tab w:val="left" w:pos="10992" w:leader="none"/>
          <w:tab w:val="left" w:pos="11624" w:leader="none"/>
          <w:tab w:val="left" w:pos="11908" w:leader="none"/>
          <w:tab w:val="left" w:pos="12049" w:leader="none"/>
          <w:tab w:val="left" w:pos="14656" w:leader="none"/>
        </w:tabs>
        <w:ind w:end="111"/>
        <w:rPr/>
      </w:pPr>
      <w:r>
        <w:rPr/>
        <w:tab/>
      </w:r>
    </w:p>
    <w:p>
      <w:pPr>
        <w:pStyle w:val="Normal"/>
        <w:jc w:val="center"/>
        <w:rPr/>
      </w:pPr>
      <w:r>
        <w:rPr>
          <w:sz w:val="20"/>
          <w:szCs w:val="20"/>
        </w:rPr>
        <w:tab/>
        <w:tab/>
        <w:tab/>
        <w:tab/>
        <w:tab/>
        <w:tab/>
        <w:tab/>
        <w:tab/>
        <w:t xml:space="preserve">                                                                  </w:t>
      </w:r>
      <w:r>
        <w:rPr/>
        <w:t>Додаток 2</w:t>
      </w:r>
    </w:p>
    <w:p>
      <w:pPr>
        <w:pStyle w:val="Normal"/>
        <w:jc w:val="end"/>
        <w:rPr>
          <w:sz w:val="20"/>
          <w:szCs w:val="20"/>
        </w:rPr>
      </w:pPr>
      <w:r>
        <w:rPr>
          <w:sz w:val="20"/>
          <w:szCs w:val="20"/>
        </w:rPr>
        <w:t>до Програми «Молодь громади» на 2026-2028 роки</w:t>
      </w:r>
    </w:p>
    <w:p>
      <w:pPr>
        <w:pStyle w:val="Normal"/>
        <w:jc w:val="end"/>
        <w:rPr>
          <w:sz w:val="20"/>
          <w:szCs w:val="20"/>
        </w:rPr>
      </w:pPr>
      <w:r>
        <w:rPr>
          <w:sz w:val="20"/>
          <w:szCs w:val="20"/>
        </w:rPr>
      </w:r>
    </w:p>
    <w:p>
      <w:pPr>
        <w:pStyle w:val="Normal"/>
        <w:rPr/>
      </w:pPr>
      <w:r>
        <w:rPr/>
      </w:r>
    </w:p>
    <w:p>
      <w:pPr>
        <w:pStyle w:val="Normal"/>
        <w:jc w:val="center"/>
        <w:rPr>
          <w:b/>
        </w:rPr>
      </w:pPr>
      <w:r>
        <w:rPr>
          <w:b/>
        </w:rPr>
        <w:t>ПОКАЗНИКИ РЕЗУЛЬТАТИВНОСТІ ПРОГРАМИ</w:t>
      </w:r>
    </w:p>
    <w:p>
      <w:pPr>
        <w:pStyle w:val="Normal"/>
        <w:jc w:val="center"/>
        <w:rPr/>
      </w:pPr>
      <w:r>
        <w:rPr/>
      </w:r>
    </w:p>
    <w:tbl>
      <w:tblPr>
        <w:tblStyle w:val="afa"/>
        <w:tblW w:w="1008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60"/>
        <w:gridCol w:w="2809"/>
        <w:gridCol w:w="736"/>
        <w:gridCol w:w="1194"/>
        <w:gridCol w:w="1195"/>
        <w:gridCol w:w="1194"/>
        <w:gridCol w:w="1196"/>
        <w:gridCol w:w="1197"/>
      </w:tblGrid>
      <w:tr>
        <w:trPr/>
        <w:tc>
          <w:tcPr>
            <w:tcW w:w="560" w:type="dxa"/>
            <w:vMerge w:val="restart"/>
            <w:tcBorders/>
          </w:tcPr>
          <w:p>
            <w:pPr>
              <w:pStyle w:val="Normal"/>
              <w:widowControl/>
              <w:spacing w:before="0" w:after="0"/>
              <w:jc w:val="center"/>
              <w:rPr>
                <w:lang w:val="uk-UA" w:bidi="ar-SA"/>
              </w:rPr>
            </w:pPr>
            <w:r>
              <w:rPr>
                <w:lang w:val="uk-UA" w:bidi="ar-SA"/>
              </w:rPr>
              <w:t>№</w:t>
            </w:r>
          </w:p>
          <w:p>
            <w:pPr>
              <w:pStyle w:val="Normal"/>
              <w:widowControl/>
              <w:spacing w:before="0" w:after="0"/>
              <w:jc w:val="center"/>
              <w:rPr>
                <w:lang w:val="uk-UA" w:bidi="ar-SA"/>
              </w:rPr>
            </w:pPr>
            <w:r>
              <w:rPr>
                <w:lang w:val="uk-UA" w:bidi="ar-SA"/>
              </w:rPr>
              <w:t>з/п</w:t>
            </w:r>
          </w:p>
        </w:tc>
        <w:tc>
          <w:tcPr>
            <w:tcW w:w="2809" w:type="dxa"/>
            <w:vMerge w:val="restart"/>
            <w:tcBorders/>
          </w:tcPr>
          <w:p>
            <w:pPr>
              <w:pStyle w:val="Normal"/>
              <w:widowControl/>
              <w:spacing w:before="0" w:after="0"/>
              <w:jc w:val="center"/>
              <w:rPr>
                <w:lang w:val="uk-UA" w:bidi="ar-SA"/>
              </w:rPr>
            </w:pPr>
            <w:r>
              <w:rPr>
                <w:lang w:val="uk-UA" w:bidi="ar-SA"/>
              </w:rPr>
              <w:t>Назва показника</w:t>
            </w:r>
          </w:p>
        </w:tc>
        <w:tc>
          <w:tcPr>
            <w:tcW w:w="736" w:type="dxa"/>
            <w:vMerge w:val="restart"/>
            <w:tcBorders/>
          </w:tcPr>
          <w:p>
            <w:pPr>
              <w:pStyle w:val="Normal"/>
              <w:widowControl/>
              <w:spacing w:before="0" w:after="0"/>
              <w:jc w:val="center"/>
              <w:rPr>
                <w:lang w:val="uk-UA" w:bidi="ar-SA"/>
              </w:rPr>
            </w:pPr>
            <w:r>
              <w:rPr>
                <w:lang w:val="uk-UA" w:bidi="ar-SA"/>
              </w:rPr>
              <w:t>Одиниця виміру</w:t>
            </w:r>
          </w:p>
        </w:tc>
        <w:tc>
          <w:tcPr>
            <w:tcW w:w="5976" w:type="dxa"/>
            <w:gridSpan w:val="5"/>
            <w:tcBorders/>
          </w:tcPr>
          <w:p>
            <w:pPr>
              <w:pStyle w:val="Normal"/>
              <w:widowControl/>
              <w:spacing w:before="0" w:after="0"/>
              <w:jc w:val="center"/>
              <w:rPr>
                <w:lang w:val="uk-UA" w:bidi="ar-SA"/>
              </w:rPr>
            </w:pPr>
            <w:r>
              <w:rPr>
                <w:lang w:val="uk-UA" w:bidi="ar-SA"/>
              </w:rPr>
              <w:t>Значення показника</w:t>
            </w:r>
          </w:p>
        </w:tc>
      </w:tr>
      <w:tr>
        <w:trPr/>
        <w:tc>
          <w:tcPr>
            <w:tcW w:w="560" w:type="dxa"/>
            <w:vMerge w:val="continue"/>
            <w:tcBorders/>
          </w:tcPr>
          <w:p>
            <w:pPr>
              <w:pStyle w:val="Normal"/>
              <w:widowControl/>
              <w:spacing w:before="0" w:after="0"/>
              <w:jc w:val="center"/>
              <w:rPr>
                <w:lang w:val="uk-UA" w:bidi="ar-SA"/>
              </w:rPr>
            </w:pPr>
            <w:r>
              <w:rPr>
                <w:lang w:val="uk-UA" w:bidi="ar-SA"/>
              </w:rPr>
            </w:r>
          </w:p>
        </w:tc>
        <w:tc>
          <w:tcPr>
            <w:tcW w:w="2809" w:type="dxa"/>
            <w:vMerge w:val="continue"/>
            <w:tcBorders/>
          </w:tcPr>
          <w:p>
            <w:pPr>
              <w:pStyle w:val="Normal"/>
              <w:widowControl/>
              <w:spacing w:before="0" w:after="0"/>
              <w:jc w:val="center"/>
              <w:rPr>
                <w:lang w:val="uk-UA" w:bidi="ar-SA"/>
              </w:rPr>
            </w:pPr>
            <w:r>
              <w:rPr>
                <w:lang w:val="uk-UA" w:bidi="ar-SA"/>
              </w:rPr>
            </w:r>
          </w:p>
        </w:tc>
        <w:tc>
          <w:tcPr>
            <w:tcW w:w="736" w:type="dxa"/>
            <w:vMerge w:val="continue"/>
            <w:tcBorders/>
          </w:tcPr>
          <w:p>
            <w:pPr>
              <w:pStyle w:val="Normal"/>
              <w:widowControl/>
              <w:spacing w:before="0" w:after="0"/>
              <w:jc w:val="center"/>
              <w:rPr>
                <w:lang w:val="uk-UA" w:bidi="ar-SA"/>
              </w:rPr>
            </w:pPr>
            <w:r>
              <w:rPr>
                <w:lang w:val="uk-UA" w:bidi="ar-SA"/>
              </w:rPr>
            </w:r>
          </w:p>
        </w:tc>
        <w:tc>
          <w:tcPr>
            <w:tcW w:w="1194" w:type="dxa"/>
            <w:tcBorders/>
          </w:tcPr>
          <w:p>
            <w:pPr>
              <w:pStyle w:val="Normal"/>
              <w:widowControl/>
              <w:spacing w:before="0" w:after="0"/>
              <w:jc w:val="center"/>
              <w:rPr>
                <w:lang w:val="uk-UA" w:bidi="ar-SA"/>
              </w:rPr>
            </w:pPr>
            <w:r>
              <w:rPr>
                <w:lang w:val="uk-UA" w:bidi="ar-SA"/>
              </w:rPr>
              <w:t>Вихідні дані на початок програми</w:t>
            </w:r>
          </w:p>
        </w:tc>
        <w:tc>
          <w:tcPr>
            <w:tcW w:w="1195" w:type="dxa"/>
            <w:tcBorders/>
          </w:tcPr>
          <w:p>
            <w:pPr>
              <w:pStyle w:val="Normal"/>
              <w:widowControl/>
              <w:spacing w:before="0" w:after="0"/>
              <w:jc w:val="center"/>
              <w:rPr>
                <w:lang w:val="uk-UA" w:bidi="ar-SA"/>
              </w:rPr>
            </w:pPr>
            <w:r>
              <w:rPr>
                <w:lang w:val="uk-UA" w:bidi="ar-SA"/>
              </w:rPr>
              <w:t>2026 рік</w:t>
            </w:r>
          </w:p>
        </w:tc>
        <w:tc>
          <w:tcPr>
            <w:tcW w:w="1194" w:type="dxa"/>
            <w:tcBorders/>
          </w:tcPr>
          <w:p>
            <w:pPr>
              <w:pStyle w:val="Normal"/>
              <w:widowControl/>
              <w:spacing w:before="0" w:after="0"/>
              <w:jc w:val="center"/>
              <w:rPr>
                <w:lang w:val="uk-UA" w:bidi="ar-SA"/>
              </w:rPr>
            </w:pPr>
            <w:r>
              <w:rPr>
                <w:lang w:val="uk-UA" w:bidi="ar-SA"/>
              </w:rPr>
              <w:t>2027 рік</w:t>
            </w:r>
          </w:p>
        </w:tc>
        <w:tc>
          <w:tcPr>
            <w:tcW w:w="1196" w:type="dxa"/>
            <w:tcBorders/>
          </w:tcPr>
          <w:p>
            <w:pPr>
              <w:pStyle w:val="Normal"/>
              <w:widowControl/>
              <w:spacing w:before="0" w:after="0"/>
              <w:jc w:val="center"/>
              <w:rPr>
                <w:lang w:val="uk-UA" w:bidi="ar-SA"/>
              </w:rPr>
            </w:pPr>
            <w:r>
              <w:rPr>
                <w:lang w:val="uk-UA" w:bidi="ar-SA"/>
              </w:rPr>
              <w:t>2028 рік</w:t>
            </w:r>
          </w:p>
        </w:tc>
        <w:tc>
          <w:tcPr>
            <w:tcW w:w="1197" w:type="dxa"/>
            <w:tcBorders/>
          </w:tcPr>
          <w:p>
            <w:pPr>
              <w:pStyle w:val="Normal"/>
              <w:widowControl/>
              <w:spacing w:before="0" w:after="0"/>
              <w:jc w:val="center"/>
              <w:rPr>
                <w:lang w:val="uk-UA" w:bidi="ar-SA"/>
              </w:rPr>
            </w:pPr>
            <w:r>
              <w:rPr>
                <w:lang w:val="uk-UA" w:bidi="ar-SA"/>
              </w:rPr>
              <w:t>Усього</w:t>
            </w:r>
          </w:p>
        </w:tc>
      </w:tr>
      <w:tr>
        <w:trPr/>
        <w:tc>
          <w:tcPr>
            <w:tcW w:w="560" w:type="dxa"/>
            <w:tcBorders/>
          </w:tcPr>
          <w:p>
            <w:pPr>
              <w:pStyle w:val="Normal"/>
              <w:widowControl/>
              <w:spacing w:before="0" w:after="0"/>
              <w:jc w:val="center"/>
              <w:rPr>
                <w:sz w:val="20"/>
                <w:szCs w:val="20"/>
              </w:rPr>
            </w:pPr>
            <w:r>
              <w:rPr>
                <w:sz w:val="20"/>
                <w:szCs w:val="20"/>
                <w:lang w:val="uk-UA" w:bidi="ar-SA"/>
              </w:rPr>
              <w:t>1</w:t>
            </w:r>
          </w:p>
        </w:tc>
        <w:tc>
          <w:tcPr>
            <w:tcW w:w="2809" w:type="dxa"/>
            <w:tcBorders/>
          </w:tcPr>
          <w:p>
            <w:pPr>
              <w:pStyle w:val="Normal"/>
              <w:widowControl/>
              <w:spacing w:before="0" w:after="0"/>
              <w:jc w:val="center"/>
              <w:rPr>
                <w:sz w:val="20"/>
                <w:szCs w:val="20"/>
              </w:rPr>
            </w:pPr>
            <w:r>
              <w:rPr>
                <w:sz w:val="20"/>
                <w:szCs w:val="20"/>
                <w:lang w:val="uk-UA" w:bidi="ar-SA"/>
              </w:rPr>
              <w:t>2</w:t>
            </w:r>
          </w:p>
        </w:tc>
        <w:tc>
          <w:tcPr>
            <w:tcW w:w="736" w:type="dxa"/>
            <w:tcBorders/>
          </w:tcPr>
          <w:p>
            <w:pPr>
              <w:pStyle w:val="Normal"/>
              <w:widowControl/>
              <w:spacing w:before="0" w:after="0"/>
              <w:jc w:val="center"/>
              <w:rPr>
                <w:sz w:val="20"/>
                <w:szCs w:val="20"/>
              </w:rPr>
            </w:pPr>
            <w:r>
              <w:rPr>
                <w:sz w:val="20"/>
                <w:szCs w:val="20"/>
                <w:lang w:val="uk-UA" w:bidi="ar-SA"/>
              </w:rPr>
              <w:t>3</w:t>
            </w:r>
          </w:p>
        </w:tc>
        <w:tc>
          <w:tcPr>
            <w:tcW w:w="1194" w:type="dxa"/>
            <w:tcBorders/>
          </w:tcPr>
          <w:p>
            <w:pPr>
              <w:pStyle w:val="Normal"/>
              <w:widowControl/>
              <w:spacing w:before="0" w:after="0"/>
              <w:jc w:val="center"/>
              <w:rPr>
                <w:sz w:val="20"/>
                <w:szCs w:val="20"/>
              </w:rPr>
            </w:pPr>
            <w:r>
              <w:rPr>
                <w:sz w:val="20"/>
                <w:szCs w:val="20"/>
                <w:lang w:val="uk-UA" w:bidi="ar-SA"/>
              </w:rPr>
              <w:t>4</w:t>
            </w:r>
          </w:p>
        </w:tc>
        <w:tc>
          <w:tcPr>
            <w:tcW w:w="1195" w:type="dxa"/>
            <w:tcBorders/>
          </w:tcPr>
          <w:p>
            <w:pPr>
              <w:pStyle w:val="Normal"/>
              <w:widowControl/>
              <w:spacing w:before="0" w:after="0"/>
              <w:jc w:val="center"/>
              <w:rPr>
                <w:sz w:val="20"/>
                <w:szCs w:val="20"/>
              </w:rPr>
            </w:pPr>
            <w:r>
              <w:rPr>
                <w:sz w:val="20"/>
                <w:szCs w:val="20"/>
                <w:lang w:val="uk-UA" w:bidi="ar-SA"/>
              </w:rPr>
              <w:t>5</w:t>
            </w:r>
          </w:p>
        </w:tc>
        <w:tc>
          <w:tcPr>
            <w:tcW w:w="1194" w:type="dxa"/>
            <w:tcBorders/>
          </w:tcPr>
          <w:p>
            <w:pPr>
              <w:pStyle w:val="Normal"/>
              <w:widowControl/>
              <w:spacing w:before="0" w:after="0"/>
              <w:jc w:val="center"/>
              <w:rPr>
                <w:sz w:val="20"/>
                <w:szCs w:val="20"/>
              </w:rPr>
            </w:pPr>
            <w:r>
              <w:rPr>
                <w:sz w:val="20"/>
                <w:szCs w:val="20"/>
                <w:lang w:val="uk-UA" w:bidi="ar-SA"/>
              </w:rPr>
              <w:t>6</w:t>
            </w:r>
          </w:p>
        </w:tc>
        <w:tc>
          <w:tcPr>
            <w:tcW w:w="1196" w:type="dxa"/>
            <w:tcBorders/>
          </w:tcPr>
          <w:p>
            <w:pPr>
              <w:pStyle w:val="Normal"/>
              <w:widowControl/>
              <w:spacing w:before="0" w:after="0"/>
              <w:jc w:val="center"/>
              <w:rPr>
                <w:sz w:val="20"/>
                <w:szCs w:val="20"/>
              </w:rPr>
            </w:pPr>
            <w:r>
              <w:rPr>
                <w:sz w:val="20"/>
                <w:szCs w:val="20"/>
                <w:lang w:val="uk-UA" w:bidi="ar-SA"/>
              </w:rPr>
              <w:t>7</w:t>
            </w:r>
          </w:p>
        </w:tc>
        <w:tc>
          <w:tcPr>
            <w:tcW w:w="1197" w:type="dxa"/>
            <w:tcBorders/>
          </w:tcPr>
          <w:p>
            <w:pPr>
              <w:pStyle w:val="Normal"/>
              <w:widowControl/>
              <w:spacing w:before="0" w:after="0"/>
              <w:jc w:val="center"/>
              <w:rPr>
                <w:sz w:val="20"/>
                <w:szCs w:val="20"/>
              </w:rPr>
            </w:pPr>
            <w:r>
              <w:rPr>
                <w:sz w:val="20"/>
                <w:szCs w:val="20"/>
                <w:lang w:val="uk-UA" w:bidi="ar-SA"/>
              </w:rPr>
              <w:t>8</w:t>
            </w:r>
          </w:p>
        </w:tc>
      </w:tr>
      <w:tr>
        <w:trPr/>
        <w:tc>
          <w:tcPr>
            <w:tcW w:w="10081" w:type="dxa"/>
            <w:gridSpan w:val="8"/>
            <w:tcBorders/>
          </w:tcPr>
          <w:p>
            <w:pPr>
              <w:pStyle w:val="Normal"/>
              <w:widowControl/>
              <w:spacing w:before="0" w:after="0"/>
              <w:jc w:val="start"/>
              <w:rPr>
                <w:lang w:val="uk-UA" w:bidi="ar-SA"/>
              </w:rPr>
            </w:pPr>
            <w:r>
              <w:rPr>
                <w:lang w:val="uk-UA" w:bidi="ar-SA"/>
              </w:rPr>
            </w:r>
          </w:p>
          <w:p>
            <w:pPr>
              <w:pStyle w:val="Normal"/>
              <w:widowControl/>
              <w:spacing w:before="0" w:after="0"/>
              <w:jc w:val="center"/>
              <w:rPr>
                <w:lang w:val="uk-UA" w:bidi="ar-SA"/>
              </w:rPr>
            </w:pPr>
            <w:r>
              <w:rPr>
                <w:lang w:val="uk-UA" w:bidi="ar-SA"/>
              </w:rPr>
              <w:t>І Показник затрат</w:t>
            </w:r>
          </w:p>
        </w:tc>
      </w:tr>
      <w:tr>
        <w:trPr/>
        <w:tc>
          <w:tcPr>
            <w:tcW w:w="560" w:type="dxa"/>
            <w:tcBorders/>
          </w:tcPr>
          <w:p>
            <w:pPr>
              <w:pStyle w:val="Normal"/>
              <w:widowControl/>
              <w:spacing w:before="0" w:after="0"/>
              <w:jc w:val="start"/>
              <w:rPr>
                <w:lang w:val="uk-UA" w:bidi="ar-SA"/>
              </w:rPr>
            </w:pPr>
            <w:r>
              <w:rPr>
                <w:lang w:val="uk-UA" w:bidi="ar-SA"/>
              </w:rPr>
              <w:t>1.</w:t>
            </w:r>
          </w:p>
        </w:tc>
        <w:tc>
          <w:tcPr>
            <w:tcW w:w="2809" w:type="dxa"/>
            <w:tcBorders/>
          </w:tcPr>
          <w:p>
            <w:pPr>
              <w:pStyle w:val="Normal"/>
              <w:widowControl/>
              <w:spacing w:before="0" w:after="0"/>
              <w:jc w:val="start"/>
              <w:rPr>
                <w:sz w:val="20"/>
                <w:szCs w:val="20"/>
              </w:rPr>
            </w:pPr>
            <w:r>
              <w:rPr>
                <w:sz w:val="20"/>
                <w:szCs w:val="20"/>
                <w:lang w:val="uk-UA" w:bidi="ar-SA"/>
              </w:rPr>
              <w:t>Сума коштів на функціонування Молодіжної ради, Молодіжного простору «Молодь. Дія», розбудову молодіжної інфраструктури, співпрацю молоді громади з Роздільнянською міською радою, підтримку молодіжних громадських організацій</w:t>
            </w:r>
          </w:p>
        </w:tc>
        <w:tc>
          <w:tcPr>
            <w:tcW w:w="736" w:type="dxa"/>
            <w:tcBorders/>
          </w:tcPr>
          <w:p>
            <w:pPr>
              <w:pStyle w:val="Normal"/>
              <w:widowControl/>
              <w:spacing w:before="0" w:after="0"/>
              <w:ind w:start="3"/>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20, 0</w:t>
            </w:r>
          </w:p>
        </w:tc>
        <w:tc>
          <w:tcPr>
            <w:tcW w:w="1194" w:type="dxa"/>
            <w:tcBorders/>
          </w:tcPr>
          <w:p>
            <w:pPr>
              <w:pStyle w:val="Normal"/>
              <w:widowControl/>
              <w:spacing w:before="0" w:after="0"/>
              <w:jc w:val="center"/>
              <w:rPr>
                <w:lang w:val="uk-UA" w:bidi="ar-SA"/>
              </w:rPr>
            </w:pPr>
            <w:r>
              <w:rPr>
                <w:lang w:val="uk-UA" w:bidi="ar-SA"/>
              </w:rPr>
              <w:t>20,0</w:t>
            </w:r>
          </w:p>
        </w:tc>
        <w:tc>
          <w:tcPr>
            <w:tcW w:w="1196" w:type="dxa"/>
            <w:tcBorders/>
          </w:tcPr>
          <w:p>
            <w:pPr>
              <w:pStyle w:val="Normal"/>
              <w:widowControl/>
              <w:spacing w:before="0" w:after="0"/>
              <w:jc w:val="center"/>
              <w:rPr>
                <w:lang w:val="uk-UA" w:bidi="ar-SA"/>
              </w:rPr>
            </w:pPr>
            <w:r>
              <w:rPr>
                <w:lang w:val="uk-UA" w:bidi="ar-SA"/>
              </w:rPr>
              <w:t>20,0</w:t>
            </w:r>
          </w:p>
        </w:tc>
        <w:tc>
          <w:tcPr>
            <w:tcW w:w="1197" w:type="dxa"/>
            <w:tcBorders/>
          </w:tcPr>
          <w:p>
            <w:pPr>
              <w:pStyle w:val="Normal"/>
              <w:widowControl/>
              <w:spacing w:before="0" w:after="0"/>
              <w:jc w:val="center"/>
              <w:rPr>
                <w:lang w:val="uk-UA" w:bidi="ar-SA"/>
              </w:rPr>
            </w:pPr>
            <w:r>
              <w:rPr>
                <w:lang w:val="uk-UA" w:bidi="ar-SA"/>
              </w:rPr>
              <w:t>60,0</w:t>
            </w:r>
          </w:p>
        </w:tc>
      </w:tr>
      <w:tr>
        <w:trPr/>
        <w:tc>
          <w:tcPr>
            <w:tcW w:w="560" w:type="dxa"/>
            <w:tcBorders/>
          </w:tcPr>
          <w:p>
            <w:pPr>
              <w:pStyle w:val="Normal"/>
              <w:widowControl/>
              <w:spacing w:before="0" w:after="0"/>
              <w:jc w:val="start"/>
              <w:rPr>
                <w:lang w:val="uk-UA" w:bidi="ar-SA"/>
              </w:rPr>
            </w:pPr>
            <w:r>
              <w:rPr>
                <w:lang w:val="uk-UA" w:bidi="ar-SA"/>
              </w:rPr>
              <w:t>2.</w:t>
            </w:r>
          </w:p>
        </w:tc>
        <w:tc>
          <w:tcPr>
            <w:tcW w:w="2809" w:type="dxa"/>
            <w:tcBorders/>
          </w:tcPr>
          <w:p>
            <w:pPr>
              <w:pStyle w:val="Normal"/>
              <w:widowControl/>
              <w:spacing w:before="0" w:after="0"/>
              <w:jc w:val="start"/>
              <w:rPr>
                <w:sz w:val="20"/>
                <w:szCs w:val="20"/>
              </w:rPr>
            </w:pPr>
            <w:r>
              <w:rPr>
                <w:sz w:val="20"/>
                <w:szCs w:val="20"/>
                <w:lang w:val="uk-UA" w:bidi="ar-SA"/>
              </w:rPr>
              <w:t>Сума коштів на оплату праці молодіжного працівника</w:t>
            </w:r>
          </w:p>
        </w:tc>
        <w:tc>
          <w:tcPr>
            <w:tcW w:w="736" w:type="dxa"/>
            <w:tcBorders/>
          </w:tcPr>
          <w:p>
            <w:pPr>
              <w:pStyle w:val="Normal"/>
              <w:widowControl/>
              <w:spacing w:before="0" w:after="0"/>
              <w:ind w:start="3"/>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126,593</w:t>
            </w:r>
          </w:p>
        </w:tc>
        <w:tc>
          <w:tcPr>
            <w:tcW w:w="1194" w:type="dxa"/>
            <w:tcBorders/>
          </w:tcPr>
          <w:p>
            <w:pPr>
              <w:pStyle w:val="Normal"/>
              <w:widowControl/>
              <w:spacing w:before="0" w:after="0"/>
              <w:jc w:val="center"/>
              <w:rPr>
                <w:lang w:val="uk-UA" w:bidi="ar-SA"/>
              </w:rPr>
            </w:pPr>
            <w:r>
              <w:rPr>
                <w:lang w:val="uk-UA" w:bidi="ar-SA"/>
              </w:rPr>
              <w:t>126,593</w:t>
            </w:r>
          </w:p>
        </w:tc>
        <w:tc>
          <w:tcPr>
            <w:tcW w:w="1196" w:type="dxa"/>
            <w:tcBorders/>
          </w:tcPr>
          <w:p>
            <w:pPr>
              <w:pStyle w:val="Normal"/>
              <w:widowControl/>
              <w:spacing w:before="0" w:after="0"/>
              <w:jc w:val="center"/>
              <w:rPr>
                <w:lang w:val="uk-UA" w:bidi="ar-SA"/>
              </w:rPr>
            </w:pPr>
            <w:r>
              <w:rPr>
                <w:lang w:val="uk-UA" w:bidi="ar-SA"/>
              </w:rPr>
              <w:t>126,593</w:t>
            </w:r>
          </w:p>
        </w:tc>
        <w:tc>
          <w:tcPr>
            <w:tcW w:w="1197" w:type="dxa"/>
            <w:tcBorders/>
          </w:tcPr>
          <w:p>
            <w:pPr>
              <w:pStyle w:val="Normal"/>
              <w:widowControl/>
              <w:spacing w:before="0" w:after="0"/>
              <w:jc w:val="center"/>
              <w:rPr>
                <w:lang w:val="uk-UA" w:bidi="ar-SA"/>
              </w:rPr>
            </w:pPr>
            <w:r>
              <w:rPr>
                <w:lang w:val="uk-UA" w:bidi="ar-SA"/>
              </w:rPr>
              <w:t>379,779</w:t>
            </w:r>
          </w:p>
        </w:tc>
      </w:tr>
      <w:tr>
        <w:trPr/>
        <w:tc>
          <w:tcPr>
            <w:tcW w:w="560" w:type="dxa"/>
            <w:tcBorders/>
          </w:tcPr>
          <w:p>
            <w:pPr>
              <w:pStyle w:val="Normal"/>
              <w:widowControl/>
              <w:spacing w:before="0" w:after="0"/>
              <w:jc w:val="start"/>
              <w:rPr>
                <w:lang w:val="uk-UA" w:bidi="ar-SA"/>
              </w:rPr>
            </w:pPr>
            <w:r>
              <w:rPr>
                <w:lang w:val="uk-UA" w:bidi="ar-SA"/>
              </w:rPr>
              <w:t>3.</w:t>
            </w:r>
          </w:p>
        </w:tc>
        <w:tc>
          <w:tcPr>
            <w:tcW w:w="2809" w:type="dxa"/>
            <w:tcBorders/>
          </w:tcPr>
          <w:p>
            <w:pPr>
              <w:pStyle w:val="Normal"/>
              <w:widowControl/>
              <w:spacing w:before="0" w:after="0"/>
              <w:jc w:val="start"/>
              <w:rPr>
                <w:sz w:val="20"/>
                <w:szCs w:val="20"/>
              </w:rPr>
            </w:pPr>
            <w:r>
              <w:rPr>
                <w:sz w:val="20"/>
                <w:szCs w:val="20"/>
                <w:lang w:val="uk-UA" w:bidi="ar-SA"/>
              </w:rPr>
              <w:t xml:space="preserve">Сума коштів на проведення  різноманітних форм молодіжних активностей: семінари, тренінги, круглі столи, конференції, форуми, акції, конкурси, фестивалі, ігри, </w:t>
            </w:r>
          </w:p>
          <w:p>
            <w:pPr>
              <w:pStyle w:val="Normal"/>
              <w:widowControl/>
              <w:spacing w:before="0" w:after="0"/>
              <w:jc w:val="start"/>
              <w:rPr>
                <w:sz w:val="20"/>
                <w:szCs w:val="20"/>
              </w:rPr>
            </w:pPr>
            <w:r>
              <w:rPr>
                <w:sz w:val="20"/>
                <w:szCs w:val="20"/>
                <w:lang w:val="uk-UA" w:bidi="ar-SA"/>
              </w:rPr>
              <w:t>інформаційні кампанії, розроблення та виготовлення друкованих, фото- та відеоматеріалів, виготовлення аксесуарів з логотипами тощо.</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60,0</w:t>
            </w:r>
          </w:p>
        </w:tc>
        <w:tc>
          <w:tcPr>
            <w:tcW w:w="1194" w:type="dxa"/>
            <w:tcBorders/>
          </w:tcPr>
          <w:p>
            <w:pPr>
              <w:pStyle w:val="Normal"/>
              <w:widowControl/>
              <w:spacing w:before="0" w:after="0"/>
              <w:jc w:val="center"/>
              <w:rPr>
                <w:lang w:val="uk-UA" w:bidi="ar-SA"/>
              </w:rPr>
            </w:pPr>
            <w:r>
              <w:rPr>
                <w:lang w:val="uk-UA" w:bidi="ar-SA"/>
              </w:rPr>
              <w:t>60,0</w:t>
            </w:r>
          </w:p>
        </w:tc>
        <w:tc>
          <w:tcPr>
            <w:tcW w:w="1196" w:type="dxa"/>
            <w:tcBorders/>
          </w:tcPr>
          <w:p>
            <w:pPr>
              <w:pStyle w:val="Normal"/>
              <w:widowControl/>
              <w:spacing w:before="0" w:after="0"/>
              <w:jc w:val="center"/>
              <w:rPr>
                <w:lang w:val="uk-UA" w:bidi="ar-SA"/>
              </w:rPr>
            </w:pPr>
            <w:r>
              <w:rPr>
                <w:lang w:val="uk-UA" w:bidi="ar-SA"/>
              </w:rPr>
              <w:t>60,0</w:t>
            </w:r>
          </w:p>
        </w:tc>
        <w:tc>
          <w:tcPr>
            <w:tcW w:w="1197" w:type="dxa"/>
            <w:tcBorders/>
          </w:tcPr>
          <w:p>
            <w:pPr>
              <w:pStyle w:val="Normal"/>
              <w:widowControl/>
              <w:spacing w:before="0" w:after="0"/>
              <w:jc w:val="center"/>
              <w:rPr>
                <w:lang w:val="uk-UA" w:bidi="ar-SA"/>
              </w:rPr>
            </w:pPr>
            <w:r>
              <w:rPr>
                <w:lang w:val="uk-UA" w:bidi="ar-SA"/>
              </w:rPr>
              <w:t>180,0</w:t>
            </w:r>
          </w:p>
        </w:tc>
      </w:tr>
      <w:tr>
        <w:trPr/>
        <w:tc>
          <w:tcPr>
            <w:tcW w:w="560" w:type="dxa"/>
            <w:tcBorders/>
          </w:tcPr>
          <w:p>
            <w:pPr>
              <w:pStyle w:val="Normal"/>
              <w:widowControl/>
              <w:spacing w:before="0" w:after="0"/>
              <w:jc w:val="start"/>
              <w:rPr>
                <w:lang w:val="uk-UA" w:bidi="ar-SA"/>
              </w:rPr>
            </w:pPr>
            <w:r>
              <w:rPr>
                <w:lang w:val="uk-UA" w:bidi="ar-SA"/>
              </w:rPr>
              <w:t>4.</w:t>
            </w:r>
          </w:p>
        </w:tc>
        <w:tc>
          <w:tcPr>
            <w:tcW w:w="2809" w:type="dxa"/>
            <w:tcBorders/>
          </w:tcPr>
          <w:p>
            <w:pPr>
              <w:pStyle w:val="Normal"/>
              <w:widowControl/>
              <w:spacing w:before="0" w:after="0"/>
              <w:jc w:val="start"/>
              <w:rPr>
                <w:sz w:val="20"/>
                <w:szCs w:val="20"/>
              </w:rPr>
            </w:pPr>
            <w:r>
              <w:rPr>
                <w:sz w:val="20"/>
                <w:szCs w:val="20"/>
                <w:lang w:val="uk-UA" w:bidi="ar-SA"/>
              </w:rPr>
              <w:t>Сума коштів на організацію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45,0</w:t>
            </w:r>
          </w:p>
        </w:tc>
        <w:tc>
          <w:tcPr>
            <w:tcW w:w="1194" w:type="dxa"/>
            <w:tcBorders/>
          </w:tcPr>
          <w:p>
            <w:pPr>
              <w:pStyle w:val="Normal"/>
              <w:widowControl/>
              <w:spacing w:before="0" w:after="0"/>
              <w:jc w:val="center"/>
              <w:rPr>
                <w:lang w:val="uk-UA" w:bidi="ar-SA"/>
              </w:rPr>
            </w:pPr>
            <w:r>
              <w:rPr>
                <w:lang w:val="uk-UA" w:bidi="ar-SA"/>
              </w:rPr>
              <w:t>45,0</w:t>
            </w:r>
          </w:p>
        </w:tc>
        <w:tc>
          <w:tcPr>
            <w:tcW w:w="1196" w:type="dxa"/>
            <w:tcBorders/>
          </w:tcPr>
          <w:p>
            <w:pPr>
              <w:pStyle w:val="Normal"/>
              <w:widowControl/>
              <w:spacing w:before="0" w:after="0"/>
              <w:jc w:val="center"/>
              <w:rPr>
                <w:lang w:val="uk-UA" w:bidi="ar-SA"/>
              </w:rPr>
            </w:pPr>
            <w:r>
              <w:rPr>
                <w:lang w:val="uk-UA" w:bidi="ar-SA"/>
              </w:rPr>
              <w:t>45,0</w:t>
            </w:r>
          </w:p>
        </w:tc>
        <w:tc>
          <w:tcPr>
            <w:tcW w:w="1197" w:type="dxa"/>
            <w:tcBorders/>
          </w:tcPr>
          <w:p>
            <w:pPr>
              <w:pStyle w:val="Normal"/>
              <w:widowControl/>
              <w:spacing w:before="0" w:after="0"/>
              <w:jc w:val="center"/>
              <w:rPr>
                <w:lang w:val="uk-UA" w:bidi="ar-SA"/>
              </w:rPr>
            </w:pPr>
            <w:r>
              <w:rPr>
                <w:lang w:val="uk-UA" w:bidi="ar-SA"/>
              </w:rPr>
              <w:t>135,0</w:t>
            </w:r>
          </w:p>
        </w:tc>
      </w:tr>
      <w:tr>
        <w:trPr/>
        <w:tc>
          <w:tcPr>
            <w:tcW w:w="560" w:type="dxa"/>
            <w:tcBorders/>
          </w:tcPr>
          <w:p>
            <w:pPr>
              <w:pStyle w:val="Normal"/>
              <w:widowControl/>
              <w:spacing w:before="0" w:after="0"/>
              <w:jc w:val="start"/>
              <w:rPr>
                <w:lang w:val="uk-UA" w:bidi="ar-SA"/>
              </w:rPr>
            </w:pPr>
            <w:r>
              <w:rPr>
                <w:lang w:val="uk-UA" w:bidi="ar-SA"/>
              </w:rPr>
              <w:t>5.</w:t>
            </w:r>
          </w:p>
        </w:tc>
        <w:tc>
          <w:tcPr>
            <w:tcW w:w="2809" w:type="dxa"/>
            <w:tcBorders/>
          </w:tcPr>
          <w:p>
            <w:pPr>
              <w:pStyle w:val="Normal"/>
              <w:widowControl/>
              <w:spacing w:before="0" w:after="0"/>
              <w:jc w:val="start"/>
              <w:rPr>
                <w:sz w:val="20"/>
                <w:szCs w:val="20"/>
              </w:rPr>
            </w:pPr>
            <w:r>
              <w:rPr>
                <w:sz w:val="20"/>
                <w:szCs w:val="20"/>
                <w:lang w:val="uk-UA" w:bidi="ar-SA"/>
              </w:rPr>
              <w:t>Сума коштів на підтримку талановитої молоді та обдарованих дітей громади (виявлених за результатами конкурсу)</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240,0</w:t>
            </w:r>
          </w:p>
        </w:tc>
        <w:tc>
          <w:tcPr>
            <w:tcW w:w="1194" w:type="dxa"/>
            <w:tcBorders/>
          </w:tcPr>
          <w:p>
            <w:pPr>
              <w:pStyle w:val="Normal"/>
              <w:widowControl/>
              <w:spacing w:before="0" w:after="0"/>
              <w:jc w:val="center"/>
              <w:rPr>
                <w:lang w:val="uk-UA" w:bidi="ar-SA"/>
              </w:rPr>
            </w:pPr>
            <w:r>
              <w:rPr>
                <w:lang w:val="uk-UA" w:bidi="ar-SA"/>
              </w:rPr>
              <w:t>240,0</w:t>
            </w:r>
          </w:p>
        </w:tc>
        <w:tc>
          <w:tcPr>
            <w:tcW w:w="1196" w:type="dxa"/>
            <w:tcBorders/>
          </w:tcPr>
          <w:p>
            <w:pPr>
              <w:pStyle w:val="Normal"/>
              <w:widowControl/>
              <w:spacing w:before="0" w:after="0"/>
              <w:jc w:val="center"/>
              <w:rPr>
                <w:lang w:val="uk-UA" w:bidi="ar-SA"/>
              </w:rPr>
            </w:pPr>
            <w:r>
              <w:rPr>
                <w:lang w:val="uk-UA" w:bidi="ar-SA"/>
              </w:rPr>
              <w:t>240,0</w:t>
            </w:r>
          </w:p>
        </w:tc>
        <w:tc>
          <w:tcPr>
            <w:tcW w:w="1197" w:type="dxa"/>
            <w:tcBorders/>
          </w:tcPr>
          <w:p>
            <w:pPr>
              <w:pStyle w:val="Normal"/>
              <w:widowControl/>
              <w:spacing w:before="0" w:after="0"/>
              <w:jc w:val="center"/>
              <w:rPr>
                <w:lang w:val="uk-UA" w:bidi="ar-SA"/>
              </w:rPr>
            </w:pPr>
            <w:r>
              <w:rPr>
                <w:lang w:val="uk-UA" w:bidi="ar-SA"/>
              </w:rPr>
              <w:t>720,0</w:t>
            </w:r>
          </w:p>
        </w:tc>
      </w:tr>
      <w:tr>
        <w:trPr/>
        <w:tc>
          <w:tcPr>
            <w:tcW w:w="10081" w:type="dxa"/>
            <w:gridSpan w:val="8"/>
            <w:tcBorders/>
          </w:tcPr>
          <w:p>
            <w:pPr>
              <w:pStyle w:val="Normal"/>
              <w:widowControl/>
              <w:spacing w:before="0" w:after="0"/>
              <w:jc w:val="center"/>
              <w:rPr>
                <w:lang w:val="uk-UA" w:bidi="ar-SA"/>
              </w:rPr>
            </w:pPr>
            <w:r>
              <w:rPr>
                <w:lang w:val="uk-UA" w:bidi="ar-SA"/>
              </w:rPr>
            </w:r>
          </w:p>
          <w:p>
            <w:pPr>
              <w:pStyle w:val="Normal"/>
              <w:widowControl/>
              <w:spacing w:before="0" w:after="0"/>
              <w:jc w:val="center"/>
              <w:rPr>
                <w:lang w:val="uk-UA" w:bidi="ar-SA"/>
              </w:rPr>
            </w:pPr>
            <w:r>
              <w:rPr>
                <w:lang w:val="uk-UA" w:bidi="ar-SA"/>
              </w:rPr>
              <w:t>ІІ Показник продукту</w:t>
            </w:r>
          </w:p>
        </w:tc>
      </w:tr>
      <w:tr>
        <w:trPr/>
        <w:tc>
          <w:tcPr>
            <w:tcW w:w="560" w:type="dxa"/>
            <w:tcBorders/>
          </w:tcPr>
          <w:p>
            <w:pPr>
              <w:pStyle w:val="Normal"/>
              <w:widowControl/>
              <w:spacing w:before="0" w:after="0"/>
              <w:jc w:val="start"/>
              <w:rPr>
                <w:lang w:val="uk-UA" w:bidi="ar-SA"/>
              </w:rPr>
            </w:pPr>
            <w:r>
              <w:rPr>
                <w:lang w:val="uk-UA" w:bidi="ar-SA"/>
              </w:rPr>
              <w:t>1</w:t>
            </w:r>
          </w:p>
        </w:tc>
        <w:tc>
          <w:tcPr>
            <w:tcW w:w="2809" w:type="dxa"/>
            <w:tcBorders/>
          </w:tcPr>
          <w:p>
            <w:pPr>
              <w:pStyle w:val="Normal"/>
              <w:widowControl/>
              <w:spacing w:before="0" w:after="0"/>
              <w:jc w:val="start"/>
              <w:rPr>
                <w:sz w:val="20"/>
                <w:szCs w:val="20"/>
              </w:rPr>
            </w:pPr>
            <w:r>
              <w:rPr>
                <w:sz w:val="20"/>
                <w:szCs w:val="20"/>
                <w:lang w:val="uk-UA" w:bidi="ar-SA"/>
              </w:rPr>
              <w:t>Кількість молоді, залученої до співпраці з міською радою</w:t>
            </w:r>
          </w:p>
        </w:tc>
        <w:tc>
          <w:tcPr>
            <w:tcW w:w="736" w:type="dxa"/>
            <w:tcBorders/>
          </w:tcPr>
          <w:p>
            <w:pPr>
              <w:pStyle w:val="Normal"/>
              <w:widowControl/>
              <w:spacing w:before="0" w:after="0"/>
              <w:jc w:val="start"/>
              <w:rPr>
                <w:lang w:val="uk-UA" w:bidi="ar-SA"/>
              </w:rPr>
            </w:pPr>
            <w:r>
              <w:rPr>
                <w:lang w:val="uk-UA" w:bidi="ar-SA"/>
              </w:rPr>
              <w:t>осіб</w:t>
            </w:r>
          </w:p>
        </w:tc>
        <w:tc>
          <w:tcPr>
            <w:tcW w:w="1194" w:type="dxa"/>
            <w:tcBorders/>
          </w:tcPr>
          <w:p>
            <w:pPr>
              <w:pStyle w:val="Normal"/>
              <w:widowControl/>
              <w:spacing w:before="0" w:after="0"/>
              <w:jc w:val="center"/>
              <w:rPr>
                <w:lang w:val="uk-UA" w:bidi="ar-SA"/>
              </w:rPr>
            </w:pPr>
            <w:r>
              <w:rPr>
                <w:lang w:val="uk-UA" w:bidi="ar-SA"/>
              </w:rPr>
              <w:t>20</w:t>
            </w:r>
          </w:p>
        </w:tc>
        <w:tc>
          <w:tcPr>
            <w:tcW w:w="1195" w:type="dxa"/>
            <w:tcBorders/>
          </w:tcPr>
          <w:p>
            <w:pPr>
              <w:pStyle w:val="Normal"/>
              <w:widowControl/>
              <w:spacing w:before="0" w:after="0"/>
              <w:jc w:val="center"/>
              <w:rPr>
                <w:lang w:val="uk-UA" w:bidi="ar-SA"/>
              </w:rPr>
            </w:pPr>
            <w:r>
              <w:rPr>
                <w:lang w:val="uk-UA" w:bidi="ar-SA"/>
              </w:rPr>
              <w:t>80</w:t>
            </w:r>
          </w:p>
        </w:tc>
        <w:tc>
          <w:tcPr>
            <w:tcW w:w="1194" w:type="dxa"/>
            <w:tcBorders/>
          </w:tcPr>
          <w:p>
            <w:pPr>
              <w:pStyle w:val="Normal"/>
              <w:widowControl/>
              <w:spacing w:before="0" w:after="0"/>
              <w:jc w:val="center"/>
              <w:rPr>
                <w:lang w:val="uk-UA" w:bidi="ar-SA"/>
              </w:rPr>
            </w:pPr>
            <w:r>
              <w:rPr>
                <w:lang w:val="uk-UA" w:bidi="ar-SA"/>
              </w:rPr>
              <w:t>80</w:t>
            </w:r>
          </w:p>
        </w:tc>
        <w:tc>
          <w:tcPr>
            <w:tcW w:w="1196" w:type="dxa"/>
            <w:tcBorders/>
          </w:tcPr>
          <w:p>
            <w:pPr>
              <w:pStyle w:val="Normal"/>
              <w:widowControl/>
              <w:spacing w:before="0" w:after="0"/>
              <w:jc w:val="center"/>
              <w:rPr>
                <w:lang w:val="uk-UA" w:bidi="ar-SA"/>
              </w:rPr>
            </w:pPr>
            <w:r>
              <w:rPr>
                <w:lang w:val="uk-UA" w:bidi="ar-SA"/>
              </w:rPr>
              <w:t>80</w:t>
            </w:r>
          </w:p>
        </w:tc>
        <w:tc>
          <w:tcPr>
            <w:tcW w:w="1197" w:type="dxa"/>
            <w:tcBorders/>
          </w:tcPr>
          <w:p>
            <w:pPr>
              <w:pStyle w:val="Normal"/>
              <w:widowControl/>
              <w:spacing w:before="0" w:after="0"/>
              <w:jc w:val="center"/>
              <w:rPr>
                <w:lang w:val="uk-UA" w:bidi="ar-SA"/>
              </w:rPr>
            </w:pPr>
            <w:r>
              <w:rPr>
                <w:lang w:val="uk-UA" w:bidi="ar-SA"/>
              </w:rPr>
              <w:t>240</w:t>
            </w:r>
          </w:p>
        </w:tc>
      </w:tr>
      <w:tr>
        <w:trPr/>
        <w:tc>
          <w:tcPr>
            <w:tcW w:w="560" w:type="dxa"/>
            <w:tcBorders/>
          </w:tcPr>
          <w:p>
            <w:pPr>
              <w:pStyle w:val="Normal"/>
              <w:widowControl/>
              <w:spacing w:before="0" w:after="0"/>
              <w:jc w:val="start"/>
              <w:rPr>
                <w:lang w:val="uk-UA" w:bidi="ar-SA"/>
              </w:rPr>
            </w:pPr>
            <w:r>
              <w:rPr>
                <w:lang w:val="uk-UA" w:bidi="ar-SA"/>
              </w:rPr>
              <w:t>2.</w:t>
            </w:r>
          </w:p>
        </w:tc>
        <w:tc>
          <w:tcPr>
            <w:tcW w:w="2809" w:type="dxa"/>
            <w:tcBorders/>
          </w:tcPr>
          <w:p>
            <w:pPr>
              <w:pStyle w:val="Normal"/>
              <w:widowControl/>
              <w:spacing w:before="0" w:after="0"/>
              <w:jc w:val="start"/>
              <w:rPr>
                <w:sz w:val="20"/>
                <w:szCs w:val="20"/>
              </w:rPr>
            </w:pPr>
            <w:r>
              <w:rPr>
                <w:sz w:val="20"/>
                <w:szCs w:val="20"/>
                <w:lang w:val="uk-UA" w:bidi="ar-SA"/>
              </w:rPr>
              <w:t>Кількість молодіжних працівників у громаді</w:t>
            </w:r>
          </w:p>
        </w:tc>
        <w:tc>
          <w:tcPr>
            <w:tcW w:w="736" w:type="dxa"/>
            <w:tcBorders/>
          </w:tcPr>
          <w:p>
            <w:pPr>
              <w:pStyle w:val="Normal"/>
              <w:widowControl/>
              <w:spacing w:before="0" w:after="0"/>
              <w:jc w:val="start"/>
              <w:rPr>
                <w:lang w:val="uk-UA" w:bidi="ar-SA"/>
              </w:rPr>
            </w:pPr>
            <w:r>
              <w:rPr>
                <w:lang w:val="uk-UA" w:bidi="ar-SA"/>
              </w:rPr>
              <w:t>осіб</w:t>
            </w:r>
          </w:p>
        </w:tc>
        <w:tc>
          <w:tcPr>
            <w:tcW w:w="1194" w:type="dxa"/>
            <w:tcBorders/>
          </w:tcPr>
          <w:p>
            <w:pPr>
              <w:pStyle w:val="Normal"/>
              <w:widowControl/>
              <w:spacing w:before="0" w:after="0"/>
              <w:jc w:val="center"/>
              <w:rPr>
                <w:lang w:val="uk-UA" w:bidi="ar-SA"/>
              </w:rPr>
            </w:pPr>
            <w:r>
              <w:rPr>
                <w:lang w:val="uk-UA" w:bidi="ar-SA"/>
              </w:rPr>
              <w:t>0</w:t>
            </w:r>
          </w:p>
        </w:tc>
        <w:tc>
          <w:tcPr>
            <w:tcW w:w="1195" w:type="dxa"/>
            <w:tcBorders/>
          </w:tcPr>
          <w:p>
            <w:pPr>
              <w:pStyle w:val="Normal"/>
              <w:widowControl/>
              <w:spacing w:before="0" w:after="0"/>
              <w:jc w:val="center"/>
              <w:rPr>
                <w:lang w:val="uk-UA" w:bidi="ar-SA"/>
              </w:rPr>
            </w:pPr>
            <w:r>
              <w:rPr>
                <w:lang w:val="uk-UA" w:bidi="ar-SA"/>
              </w:rPr>
              <w:t>1</w:t>
            </w:r>
          </w:p>
        </w:tc>
        <w:tc>
          <w:tcPr>
            <w:tcW w:w="1194" w:type="dxa"/>
            <w:tcBorders/>
          </w:tcPr>
          <w:p>
            <w:pPr>
              <w:pStyle w:val="Normal"/>
              <w:widowControl/>
              <w:spacing w:before="0" w:after="0"/>
              <w:jc w:val="center"/>
              <w:rPr>
                <w:lang w:val="uk-UA" w:bidi="ar-SA"/>
              </w:rPr>
            </w:pPr>
            <w:r>
              <w:rPr>
                <w:lang w:val="uk-UA" w:bidi="ar-SA"/>
              </w:rPr>
              <w:t>1</w:t>
            </w:r>
          </w:p>
        </w:tc>
        <w:tc>
          <w:tcPr>
            <w:tcW w:w="1196" w:type="dxa"/>
            <w:tcBorders/>
          </w:tcPr>
          <w:p>
            <w:pPr>
              <w:pStyle w:val="Normal"/>
              <w:widowControl/>
              <w:spacing w:before="0" w:after="0"/>
              <w:jc w:val="center"/>
              <w:rPr>
                <w:lang w:val="uk-UA" w:bidi="ar-SA"/>
              </w:rPr>
            </w:pPr>
            <w:r>
              <w:rPr>
                <w:lang w:val="uk-UA" w:bidi="ar-SA"/>
              </w:rPr>
              <w:t>1</w:t>
            </w:r>
          </w:p>
        </w:tc>
        <w:tc>
          <w:tcPr>
            <w:tcW w:w="1197" w:type="dxa"/>
            <w:tcBorders/>
          </w:tcPr>
          <w:p>
            <w:pPr>
              <w:pStyle w:val="Normal"/>
              <w:widowControl/>
              <w:spacing w:before="0" w:after="0"/>
              <w:jc w:val="center"/>
              <w:rPr>
                <w:lang w:val="uk-UA" w:bidi="ar-SA"/>
              </w:rPr>
            </w:pPr>
            <w:r>
              <w:rPr>
                <w:lang w:val="uk-UA" w:bidi="ar-SA"/>
              </w:rPr>
              <w:t>1</w:t>
            </w:r>
          </w:p>
        </w:tc>
      </w:tr>
      <w:tr>
        <w:trPr/>
        <w:tc>
          <w:tcPr>
            <w:tcW w:w="560" w:type="dxa"/>
            <w:tcBorders/>
          </w:tcPr>
          <w:p>
            <w:pPr>
              <w:pStyle w:val="Normal"/>
              <w:widowControl/>
              <w:spacing w:before="0" w:after="0"/>
              <w:jc w:val="start"/>
              <w:rPr>
                <w:lang w:val="uk-UA" w:bidi="ar-SA"/>
              </w:rPr>
            </w:pPr>
            <w:r>
              <w:rPr>
                <w:lang w:val="uk-UA" w:bidi="ar-SA"/>
              </w:rPr>
              <w:t xml:space="preserve">3. </w:t>
            </w:r>
          </w:p>
        </w:tc>
        <w:tc>
          <w:tcPr>
            <w:tcW w:w="2809" w:type="dxa"/>
            <w:tcBorders/>
          </w:tcPr>
          <w:p>
            <w:pPr>
              <w:pStyle w:val="Normal"/>
              <w:widowControl/>
              <w:spacing w:before="0" w:after="0"/>
              <w:jc w:val="start"/>
              <w:rPr>
                <w:sz w:val="20"/>
                <w:szCs w:val="20"/>
              </w:rPr>
            </w:pPr>
            <w:r>
              <w:rPr>
                <w:sz w:val="20"/>
                <w:szCs w:val="20"/>
                <w:lang w:val="uk-UA" w:bidi="ar-SA"/>
              </w:rPr>
              <w:t>Кількість молоді, охопленої роботою молодіжного працівника</w:t>
            </w:r>
          </w:p>
        </w:tc>
        <w:tc>
          <w:tcPr>
            <w:tcW w:w="736" w:type="dxa"/>
            <w:tcBorders/>
          </w:tcPr>
          <w:p>
            <w:pPr>
              <w:pStyle w:val="Normal"/>
              <w:widowControl/>
              <w:spacing w:before="0" w:after="0"/>
              <w:jc w:val="start"/>
              <w:rPr>
                <w:lang w:val="uk-UA" w:bidi="ar-SA"/>
              </w:rPr>
            </w:pPr>
            <w:r>
              <w:rPr>
                <w:lang w:val="uk-UA" w:bidi="ar-SA"/>
              </w:rPr>
              <w:t>осіб</w:t>
            </w:r>
          </w:p>
        </w:tc>
        <w:tc>
          <w:tcPr>
            <w:tcW w:w="1194" w:type="dxa"/>
            <w:tcBorders/>
          </w:tcPr>
          <w:p>
            <w:pPr>
              <w:pStyle w:val="Normal"/>
              <w:widowControl/>
              <w:spacing w:before="0" w:after="0"/>
              <w:jc w:val="center"/>
              <w:rPr>
                <w:lang w:val="uk-UA" w:bidi="ar-SA"/>
              </w:rPr>
            </w:pPr>
            <w:r>
              <w:rPr>
                <w:lang w:val="uk-UA" w:bidi="ar-SA"/>
              </w:rPr>
              <w:t>0</w:t>
            </w:r>
          </w:p>
        </w:tc>
        <w:tc>
          <w:tcPr>
            <w:tcW w:w="1195" w:type="dxa"/>
            <w:tcBorders/>
          </w:tcPr>
          <w:p>
            <w:pPr>
              <w:pStyle w:val="Normal"/>
              <w:widowControl/>
              <w:spacing w:before="0" w:after="0"/>
              <w:jc w:val="center"/>
              <w:rPr>
                <w:lang w:val="uk-UA" w:bidi="ar-SA"/>
              </w:rPr>
            </w:pPr>
            <w:r>
              <w:rPr>
                <w:lang w:val="uk-UA" w:bidi="ar-SA"/>
              </w:rPr>
              <w:t>600</w:t>
            </w:r>
          </w:p>
        </w:tc>
        <w:tc>
          <w:tcPr>
            <w:tcW w:w="1194" w:type="dxa"/>
            <w:tcBorders/>
          </w:tcPr>
          <w:p>
            <w:pPr>
              <w:pStyle w:val="Normal"/>
              <w:widowControl/>
              <w:spacing w:before="0" w:after="0"/>
              <w:jc w:val="center"/>
              <w:rPr>
                <w:lang w:val="uk-UA" w:bidi="ar-SA"/>
              </w:rPr>
            </w:pPr>
            <w:r>
              <w:rPr>
                <w:lang w:val="uk-UA" w:bidi="ar-SA"/>
              </w:rPr>
              <w:t>600</w:t>
            </w:r>
          </w:p>
        </w:tc>
        <w:tc>
          <w:tcPr>
            <w:tcW w:w="1196" w:type="dxa"/>
            <w:tcBorders/>
          </w:tcPr>
          <w:p>
            <w:pPr>
              <w:pStyle w:val="Normal"/>
              <w:widowControl/>
              <w:spacing w:before="0" w:after="0"/>
              <w:jc w:val="center"/>
              <w:rPr>
                <w:lang w:val="uk-UA" w:bidi="ar-SA"/>
              </w:rPr>
            </w:pPr>
            <w:r>
              <w:rPr>
                <w:lang w:val="uk-UA" w:bidi="ar-SA"/>
              </w:rPr>
              <w:t>600</w:t>
            </w:r>
          </w:p>
        </w:tc>
        <w:tc>
          <w:tcPr>
            <w:tcW w:w="1197" w:type="dxa"/>
            <w:tcBorders/>
          </w:tcPr>
          <w:p>
            <w:pPr>
              <w:pStyle w:val="Normal"/>
              <w:widowControl/>
              <w:spacing w:before="0" w:after="0"/>
              <w:jc w:val="center"/>
              <w:rPr>
                <w:lang w:val="uk-UA" w:bidi="ar-SA"/>
              </w:rPr>
            </w:pPr>
            <w:r>
              <w:rPr>
                <w:lang w:val="uk-UA" w:bidi="ar-SA"/>
              </w:rPr>
              <w:t>1800</w:t>
            </w:r>
          </w:p>
        </w:tc>
      </w:tr>
      <w:tr>
        <w:trPr>
          <w:trHeight w:val="2538" w:hRule="atLeast"/>
        </w:trPr>
        <w:tc>
          <w:tcPr>
            <w:tcW w:w="560" w:type="dxa"/>
            <w:tcBorders/>
          </w:tcPr>
          <w:p>
            <w:pPr>
              <w:pStyle w:val="Normal"/>
              <w:widowControl/>
              <w:spacing w:before="0" w:after="0"/>
              <w:jc w:val="start"/>
              <w:rPr>
                <w:lang w:val="uk-UA" w:bidi="ar-SA"/>
              </w:rPr>
            </w:pPr>
            <w:r>
              <w:rPr>
                <w:lang w:val="uk-UA" w:bidi="ar-SA"/>
              </w:rPr>
              <w:t>4.</w:t>
            </w:r>
          </w:p>
        </w:tc>
        <w:tc>
          <w:tcPr>
            <w:tcW w:w="2809" w:type="dxa"/>
            <w:tcBorders/>
          </w:tcPr>
          <w:p>
            <w:pPr>
              <w:pStyle w:val="Normal"/>
              <w:widowControl/>
              <w:spacing w:before="0" w:after="0"/>
              <w:jc w:val="start"/>
              <w:rPr>
                <w:sz w:val="20"/>
                <w:szCs w:val="20"/>
              </w:rPr>
            </w:pPr>
            <w:r>
              <w:rPr>
                <w:sz w:val="20"/>
                <w:szCs w:val="20"/>
                <w:lang w:val="uk-UA" w:bidi="ar-SA"/>
              </w:rPr>
              <w:t xml:space="preserve">Кількість молоді, охопленої  різноманітними заходами та молодіжними активностями, спрямованими на вирішення актуальних проблем молоді (неформальна освіта, становлення особистості, працевлаштування, здоровий спосіб життя, розвиток творчості, змістовне дозвілля </w:t>
            </w:r>
          </w:p>
          <w:p>
            <w:pPr>
              <w:pStyle w:val="Normal"/>
              <w:widowControl/>
              <w:spacing w:before="0" w:after="0"/>
              <w:jc w:val="start"/>
              <w:rPr>
                <w:sz w:val="20"/>
                <w:szCs w:val="20"/>
              </w:rPr>
            </w:pPr>
            <w:r>
              <w:rPr>
                <w:sz w:val="20"/>
                <w:szCs w:val="20"/>
                <w:lang w:val="uk-UA" w:bidi="ar-SA"/>
              </w:rPr>
              <w:t>тощо).</w:t>
            </w:r>
          </w:p>
        </w:tc>
        <w:tc>
          <w:tcPr>
            <w:tcW w:w="736" w:type="dxa"/>
            <w:tcBorders/>
          </w:tcPr>
          <w:p>
            <w:pPr>
              <w:pStyle w:val="Normal"/>
              <w:widowControl/>
              <w:spacing w:before="0" w:after="0"/>
              <w:jc w:val="start"/>
              <w:rPr>
                <w:lang w:val="uk-UA" w:bidi="ar-SA"/>
              </w:rPr>
            </w:pPr>
            <w:r>
              <w:rPr>
                <w:lang w:val="uk-UA" w:bidi="ar-SA"/>
              </w:rPr>
              <w:t>осіб</w:t>
            </w:r>
          </w:p>
        </w:tc>
        <w:tc>
          <w:tcPr>
            <w:tcW w:w="1194" w:type="dxa"/>
            <w:tcBorders/>
          </w:tcPr>
          <w:p>
            <w:pPr>
              <w:pStyle w:val="Normal"/>
              <w:widowControl/>
              <w:spacing w:before="0" w:after="0"/>
              <w:jc w:val="center"/>
              <w:rPr>
                <w:lang w:val="uk-UA" w:bidi="ar-SA"/>
              </w:rPr>
            </w:pPr>
            <w:r>
              <w:rPr>
                <w:lang w:val="uk-UA" w:bidi="ar-SA"/>
              </w:rPr>
              <w:t>200</w:t>
            </w:r>
          </w:p>
        </w:tc>
        <w:tc>
          <w:tcPr>
            <w:tcW w:w="1195" w:type="dxa"/>
            <w:tcBorders/>
          </w:tcPr>
          <w:p>
            <w:pPr>
              <w:pStyle w:val="Normal"/>
              <w:widowControl/>
              <w:spacing w:before="0" w:after="0"/>
              <w:jc w:val="center"/>
              <w:rPr>
                <w:lang w:val="uk-UA" w:bidi="ar-SA"/>
              </w:rPr>
            </w:pPr>
            <w:r>
              <w:rPr>
                <w:lang w:val="uk-UA" w:bidi="ar-SA"/>
              </w:rPr>
              <w:t>800</w:t>
            </w:r>
          </w:p>
        </w:tc>
        <w:tc>
          <w:tcPr>
            <w:tcW w:w="1194" w:type="dxa"/>
            <w:tcBorders/>
          </w:tcPr>
          <w:p>
            <w:pPr>
              <w:pStyle w:val="Normal"/>
              <w:widowControl/>
              <w:spacing w:before="0" w:after="0"/>
              <w:jc w:val="center"/>
              <w:rPr>
                <w:lang w:val="uk-UA" w:bidi="ar-SA"/>
              </w:rPr>
            </w:pPr>
            <w:r>
              <w:rPr>
                <w:lang w:val="uk-UA" w:bidi="ar-SA"/>
              </w:rPr>
              <w:t>800</w:t>
            </w:r>
          </w:p>
        </w:tc>
        <w:tc>
          <w:tcPr>
            <w:tcW w:w="1196" w:type="dxa"/>
            <w:tcBorders/>
          </w:tcPr>
          <w:p>
            <w:pPr>
              <w:pStyle w:val="Normal"/>
              <w:widowControl/>
              <w:spacing w:before="0" w:after="0"/>
              <w:jc w:val="center"/>
              <w:rPr>
                <w:lang w:val="uk-UA" w:bidi="ar-SA"/>
              </w:rPr>
            </w:pPr>
            <w:r>
              <w:rPr>
                <w:lang w:val="uk-UA" w:bidi="ar-SA"/>
              </w:rPr>
              <w:t>800</w:t>
            </w:r>
          </w:p>
        </w:tc>
        <w:tc>
          <w:tcPr>
            <w:tcW w:w="1197" w:type="dxa"/>
            <w:tcBorders/>
          </w:tcPr>
          <w:p>
            <w:pPr>
              <w:pStyle w:val="Normal"/>
              <w:widowControl/>
              <w:spacing w:before="0" w:after="0"/>
              <w:jc w:val="center"/>
              <w:rPr>
                <w:lang w:val="uk-UA" w:bidi="ar-SA"/>
              </w:rPr>
            </w:pPr>
            <w:r>
              <w:rPr>
                <w:lang w:val="uk-UA" w:bidi="ar-SA"/>
              </w:rPr>
              <w:t>2400</w:t>
            </w:r>
          </w:p>
        </w:tc>
      </w:tr>
      <w:tr>
        <w:trPr>
          <w:trHeight w:val="1414" w:hRule="atLeast"/>
        </w:trPr>
        <w:tc>
          <w:tcPr>
            <w:tcW w:w="560" w:type="dxa"/>
            <w:tcBorders/>
          </w:tcPr>
          <w:p>
            <w:pPr>
              <w:pStyle w:val="Normal"/>
              <w:widowControl/>
              <w:spacing w:before="0" w:after="0"/>
              <w:jc w:val="start"/>
              <w:rPr>
                <w:lang w:val="uk-UA" w:bidi="ar-SA"/>
              </w:rPr>
            </w:pPr>
            <w:r>
              <w:rPr>
                <w:lang w:val="uk-UA" w:bidi="ar-SA"/>
              </w:rPr>
              <w:t xml:space="preserve">5. </w:t>
            </w:r>
          </w:p>
        </w:tc>
        <w:tc>
          <w:tcPr>
            <w:tcW w:w="2809" w:type="dxa"/>
            <w:tcBorders/>
          </w:tcPr>
          <w:p>
            <w:pPr>
              <w:pStyle w:val="Normal"/>
              <w:widowControl/>
              <w:spacing w:before="0" w:after="0"/>
              <w:jc w:val="start"/>
              <w:rPr>
                <w:sz w:val="20"/>
                <w:szCs w:val="20"/>
              </w:rPr>
            </w:pPr>
            <w:r>
              <w:rPr>
                <w:sz w:val="20"/>
                <w:szCs w:val="20"/>
                <w:lang w:val="uk-UA" w:bidi="ar-SA"/>
              </w:rPr>
              <w:t>Кількість молоді громади, залученої до організації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tc>
        <w:tc>
          <w:tcPr>
            <w:tcW w:w="736" w:type="dxa"/>
            <w:tcBorders/>
          </w:tcPr>
          <w:p>
            <w:pPr>
              <w:pStyle w:val="Normal"/>
              <w:widowControl/>
              <w:spacing w:before="0" w:after="0"/>
              <w:jc w:val="start"/>
              <w:rPr>
                <w:lang w:val="uk-UA" w:bidi="ar-SA"/>
              </w:rPr>
            </w:pPr>
            <w:r>
              <w:rPr>
                <w:lang w:val="uk-UA" w:bidi="ar-SA"/>
              </w:rPr>
              <w:t>осіб</w:t>
            </w:r>
          </w:p>
        </w:tc>
        <w:tc>
          <w:tcPr>
            <w:tcW w:w="1194" w:type="dxa"/>
            <w:tcBorders/>
          </w:tcPr>
          <w:p>
            <w:pPr>
              <w:pStyle w:val="Normal"/>
              <w:widowControl/>
              <w:spacing w:before="0" w:after="0"/>
              <w:jc w:val="center"/>
              <w:rPr>
                <w:lang w:val="uk-UA" w:bidi="ar-SA"/>
              </w:rPr>
            </w:pPr>
            <w:r>
              <w:rPr>
                <w:lang w:val="uk-UA" w:bidi="ar-SA"/>
              </w:rPr>
              <w:t>150</w:t>
            </w:r>
          </w:p>
        </w:tc>
        <w:tc>
          <w:tcPr>
            <w:tcW w:w="1195" w:type="dxa"/>
            <w:tcBorders/>
          </w:tcPr>
          <w:p>
            <w:pPr>
              <w:pStyle w:val="Normal"/>
              <w:widowControl/>
              <w:spacing w:before="0" w:after="0"/>
              <w:jc w:val="center"/>
              <w:rPr>
                <w:lang w:val="uk-UA" w:bidi="ar-SA"/>
              </w:rPr>
            </w:pPr>
            <w:r>
              <w:rPr>
                <w:lang w:val="uk-UA" w:bidi="ar-SA"/>
              </w:rPr>
              <w:t>500</w:t>
            </w:r>
          </w:p>
        </w:tc>
        <w:tc>
          <w:tcPr>
            <w:tcW w:w="1194" w:type="dxa"/>
            <w:tcBorders/>
          </w:tcPr>
          <w:p>
            <w:pPr>
              <w:pStyle w:val="Normal"/>
              <w:widowControl/>
              <w:spacing w:before="0" w:after="0"/>
              <w:jc w:val="center"/>
              <w:rPr>
                <w:lang w:val="uk-UA" w:bidi="ar-SA"/>
              </w:rPr>
            </w:pPr>
            <w:r>
              <w:rPr>
                <w:lang w:val="uk-UA" w:bidi="ar-SA"/>
              </w:rPr>
              <w:t>500</w:t>
            </w:r>
          </w:p>
        </w:tc>
        <w:tc>
          <w:tcPr>
            <w:tcW w:w="1196" w:type="dxa"/>
            <w:tcBorders/>
          </w:tcPr>
          <w:p>
            <w:pPr>
              <w:pStyle w:val="Normal"/>
              <w:widowControl/>
              <w:spacing w:before="0" w:after="0"/>
              <w:jc w:val="center"/>
              <w:rPr>
                <w:lang w:val="uk-UA" w:bidi="ar-SA"/>
              </w:rPr>
            </w:pPr>
            <w:r>
              <w:rPr>
                <w:lang w:val="uk-UA" w:bidi="ar-SA"/>
              </w:rPr>
              <w:t>500</w:t>
            </w:r>
          </w:p>
        </w:tc>
        <w:tc>
          <w:tcPr>
            <w:tcW w:w="1197" w:type="dxa"/>
            <w:tcBorders/>
          </w:tcPr>
          <w:p>
            <w:pPr>
              <w:pStyle w:val="Normal"/>
              <w:widowControl/>
              <w:spacing w:before="0" w:after="0"/>
              <w:jc w:val="center"/>
              <w:rPr>
                <w:lang w:val="uk-UA" w:bidi="ar-SA"/>
              </w:rPr>
            </w:pPr>
            <w:r>
              <w:rPr>
                <w:lang w:val="uk-UA" w:bidi="ar-SA"/>
              </w:rPr>
              <w:t>1500</w:t>
            </w:r>
          </w:p>
        </w:tc>
      </w:tr>
      <w:tr>
        <w:trPr>
          <w:trHeight w:val="698" w:hRule="atLeast"/>
        </w:trPr>
        <w:tc>
          <w:tcPr>
            <w:tcW w:w="560" w:type="dxa"/>
            <w:tcBorders/>
          </w:tcPr>
          <w:p>
            <w:pPr>
              <w:pStyle w:val="Normal"/>
              <w:widowControl/>
              <w:spacing w:before="0" w:after="0"/>
              <w:jc w:val="start"/>
              <w:rPr>
                <w:lang w:val="uk-UA" w:bidi="ar-SA"/>
              </w:rPr>
            </w:pPr>
            <w:r>
              <w:rPr>
                <w:lang w:val="uk-UA" w:bidi="ar-SA"/>
              </w:rPr>
              <w:t xml:space="preserve">6. </w:t>
            </w:r>
          </w:p>
        </w:tc>
        <w:tc>
          <w:tcPr>
            <w:tcW w:w="2809" w:type="dxa"/>
            <w:tcBorders/>
          </w:tcPr>
          <w:p>
            <w:pPr>
              <w:pStyle w:val="Normal"/>
              <w:widowControl/>
              <w:spacing w:before="0" w:after="0"/>
              <w:jc w:val="start"/>
              <w:rPr>
                <w:sz w:val="20"/>
                <w:szCs w:val="20"/>
              </w:rPr>
            </w:pPr>
            <w:r>
              <w:rPr>
                <w:sz w:val="20"/>
                <w:szCs w:val="20"/>
                <w:lang w:val="uk-UA" w:bidi="ar-SA"/>
              </w:rPr>
              <w:t>Кількість переможців серед талановитої молоді (особисто, колективи, команди, групи тощо), яким надана підтримка міської ради (виявлених за результатами конкурсу)</w:t>
            </w:r>
          </w:p>
        </w:tc>
        <w:tc>
          <w:tcPr>
            <w:tcW w:w="736" w:type="dxa"/>
            <w:tcBorders/>
          </w:tcPr>
          <w:p>
            <w:pPr>
              <w:pStyle w:val="Normal"/>
              <w:widowControl/>
              <w:spacing w:before="0" w:after="0"/>
              <w:jc w:val="start"/>
              <w:rPr>
                <w:lang w:val="uk-UA" w:bidi="ar-SA"/>
              </w:rPr>
            </w:pPr>
            <w:r>
              <w:rPr>
                <w:lang w:val="uk-UA" w:bidi="ar-SA"/>
              </w:rPr>
              <w:t>переможців</w:t>
            </w:r>
          </w:p>
        </w:tc>
        <w:tc>
          <w:tcPr>
            <w:tcW w:w="1194" w:type="dxa"/>
            <w:tcBorders/>
          </w:tcPr>
          <w:p>
            <w:pPr>
              <w:pStyle w:val="Normal"/>
              <w:widowControl/>
              <w:spacing w:before="0" w:after="0"/>
              <w:jc w:val="center"/>
              <w:rPr>
                <w:lang w:val="uk-UA" w:bidi="ar-SA"/>
              </w:rPr>
            </w:pPr>
            <w:r>
              <w:rPr>
                <w:lang w:val="uk-UA" w:bidi="ar-SA"/>
              </w:rPr>
              <w:t>0</w:t>
            </w:r>
          </w:p>
        </w:tc>
        <w:tc>
          <w:tcPr>
            <w:tcW w:w="1195" w:type="dxa"/>
            <w:tcBorders/>
          </w:tcPr>
          <w:p>
            <w:pPr>
              <w:pStyle w:val="Normal"/>
              <w:widowControl/>
              <w:spacing w:before="0" w:after="0"/>
              <w:jc w:val="center"/>
              <w:rPr>
                <w:lang w:val="uk-UA" w:bidi="ar-SA"/>
              </w:rPr>
            </w:pPr>
            <w:r>
              <w:rPr>
                <w:lang w:val="uk-UA" w:bidi="ar-SA"/>
              </w:rPr>
              <w:t>30</w:t>
            </w:r>
          </w:p>
        </w:tc>
        <w:tc>
          <w:tcPr>
            <w:tcW w:w="1194" w:type="dxa"/>
            <w:tcBorders/>
          </w:tcPr>
          <w:p>
            <w:pPr>
              <w:pStyle w:val="Normal"/>
              <w:widowControl/>
              <w:spacing w:before="0" w:after="0"/>
              <w:jc w:val="center"/>
              <w:rPr>
                <w:lang w:val="uk-UA" w:bidi="ar-SA"/>
              </w:rPr>
            </w:pPr>
            <w:r>
              <w:rPr>
                <w:lang w:val="uk-UA" w:bidi="ar-SA"/>
              </w:rPr>
              <w:t>30</w:t>
            </w:r>
          </w:p>
        </w:tc>
        <w:tc>
          <w:tcPr>
            <w:tcW w:w="1196" w:type="dxa"/>
            <w:tcBorders/>
          </w:tcPr>
          <w:p>
            <w:pPr>
              <w:pStyle w:val="Normal"/>
              <w:widowControl/>
              <w:spacing w:before="0" w:after="0"/>
              <w:jc w:val="center"/>
              <w:rPr>
                <w:lang w:val="uk-UA" w:bidi="ar-SA"/>
              </w:rPr>
            </w:pPr>
            <w:r>
              <w:rPr>
                <w:lang w:val="uk-UA" w:bidi="ar-SA"/>
              </w:rPr>
              <w:t>30</w:t>
            </w:r>
          </w:p>
        </w:tc>
        <w:tc>
          <w:tcPr>
            <w:tcW w:w="1197" w:type="dxa"/>
            <w:tcBorders/>
          </w:tcPr>
          <w:p>
            <w:pPr>
              <w:pStyle w:val="Normal"/>
              <w:widowControl/>
              <w:spacing w:before="0" w:after="0"/>
              <w:jc w:val="center"/>
              <w:rPr>
                <w:lang w:val="uk-UA" w:bidi="ar-SA"/>
              </w:rPr>
            </w:pPr>
            <w:r>
              <w:rPr>
                <w:lang w:val="uk-UA" w:bidi="ar-SA"/>
              </w:rPr>
              <w:t>90</w:t>
            </w:r>
          </w:p>
        </w:tc>
      </w:tr>
      <w:tr>
        <w:trPr/>
        <w:tc>
          <w:tcPr>
            <w:tcW w:w="10081" w:type="dxa"/>
            <w:gridSpan w:val="8"/>
            <w:tcBorders/>
          </w:tcPr>
          <w:p>
            <w:pPr>
              <w:pStyle w:val="Normal"/>
              <w:widowControl/>
              <w:spacing w:before="0" w:after="0"/>
              <w:jc w:val="center"/>
              <w:rPr>
                <w:lang w:val="uk-UA" w:bidi="ar-SA"/>
              </w:rPr>
            </w:pPr>
            <w:r>
              <w:rPr>
                <w:lang w:val="uk-UA" w:bidi="ar-SA"/>
              </w:rPr>
            </w:r>
          </w:p>
          <w:p>
            <w:pPr>
              <w:pStyle w:val="Normal"/>
              <w:widowControl/>
              <w:spacing w:before="0" w:after="0"/>
              <w:jc w:val="center"/>
              <w:rPr>
                <w:lang w:val="uk-UA" w:bidi="ar-SA"/>
              </w:rPr>
            </w:pPr>
            <w:r>
              <w:rPr>
                <w:lang w:val="uk-UA" w:bidi="ar-SA"/>
              </w:rPr>
              <w:t>ІІІ Показники ефективності</w:t>
            </w:r>
          </w:p>
        </w:tc>
      </w:tr>
      <w:tr>
        <w:trPr/>
        <w:tc>
          <w:tcPr>
            <w:tcW w:w="560" w:type="dxa"/>
            <w:tcBorders/>
          </w:tcPr>
          <w:p>
            <w:pPr>
              <w:pStyle w:val="Normal"/>
              <w:widowControl/>
              <w:spacing w:before="0" w:after="0"/>
              <w:jc w:val="start"/>
              <w:rPr>
                <w:lang w:val="uk-UA" w:bidi="ar-SA"/>
              </w:rPr>
            </w:pPr>
            <w:r>
              <w:rPr>
                <w:lang w:val="uk-UA" w:bidi="ar-SA"/>
              </w:rPr>
              <w:t>1.</w:t>
            </w:r>
          </w:p>
        </w:tc>
        <w:tc>
          <w:tcPr>
            <w:tcW w:w="2809" w:type="dxa"/>
            <w:tcBorders/>
          </w:tcPr>
          <w:p>
            <w:pPr>
              <w:pStyle w:val="Normal"/>
              <w:widowControl/>
              <w:spacing w:before="0" w:after="0"/>
              <w:jc w:val="start"/>
              <w:rPr>
                <w:sz w:val="20"/>
                <w:szCs w:val="20"/>
              </w:rPr>
            </w:pPr>
            <w:r>
              <w:rPr>
                <w:sz w:val="20"/>
                <w:szCs w:val="20"/>
                <w:lang w:val="uk-UA" w:bidi="ar-SA"/>
              </w:rPr>
              <w:t>Витрати на 1 представника молоді громади, залученого до співпраці з міською радою</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0,25</w:t>
            </w:r>
          </w:p>
        </w:tc>
        <w:tc>
          <w:tcPr>
            <w:tcW w:w="1194" w:type="dxa"/>
            <w:tcBorders/>
          </w:tcPr>
          <w:p>
            <w:pPr>
              <w:pStyle w:val="Normal"/>
              <w:widowControl/>
              <w:spacing w:before="0" w:after="0"/>
              <w:jc w:val="center"/>
              <w:rPr>
                <w:lang w:val="uk-UA" w:bidi="ar-SA"/>
              </w:rPr>
            </w:pPr>
            <w:r>
              <w:rPr>
                <w:lang w:val="uk-UA" w:bidi="ar-SA"/>
              </w:rPr>
              <w:t>0,25</w:t>
            </w:r>
          </w:p>
        </w:tc>
        <w:tc>
          <w:tcPr>
            <w:tcW w:w="1196" w:type="dxa"/>
            <w:tcBorders/>
          </w:tcPr>
          <w:p>
            <w:pPr>
              <w:pStyle w:val="Normal"/>
              <w:widowControl/>
              <w:spacing w:before="0" w:after="0"/>
              <w:jc w:val="center"/>
              <w:rPr>
                <w:lang w:val="uk-UA" w:bidi="ar-SA"/>
              </w:rPr>
            </w:pPr>
            <w:r>
              <w:rPr>
                <w:lang w:val="uk-UA" w:bidi="ar-SA"/>
              </w:rPr>
              <w:t>0,25</w:t>
            </w:r>
          </w:p>
        </w:tc>
        <w:tc>
          <w:tcPr>
            <w:tcW w:w="1197" w:type="dxa"/>
            <w:tcBorders/>
          </w:tcPr>
          <w:p>
            <w:pPr>
              <w:pStyle w:val="Normal"/>
              <w:widowControl/>
              <w:spacing w:before="0" w:after="0"/>
              <w:jc w:val="center"/>
              <w:rPr>
                <w:lang w:val="uk-UA" w:bidi="ar-SA"/>
              </w:rPr>
            </w:pPr>
            <w:r>
              <w:rPr>
                <w:lang w:val="uk-UA" w:bidi="ar-SA"/>
              </w:rPr>
              <w:t>0,75</w:t>
            </w:r>
          </w:p>
        </w:tc>
      </w:tr>
      <w:tr>
        <w:trPr/>
        <w:tc>
          <w:tcPr>
            <w:tcW w:w="560" w:type="dxa"/>
            <w:tcBorders/>
          </w:tcPr>
          <w:p>
            <w:pPr>
              <w:pStyle w:val="Normal"/>
              <w:widowControl/>
              <w:spacing w:before="0" w:after="0"/>
              <w:jc w:val="start"/>
              <w:rPr>
                <w:lang w:val="uk-UA" w:bidi="ar-SA"/>
              </w:rPr>
            </w:pPr>
            <w:r>
              <w:rPr>
                <w:lang w:val="uk-UA" w:bidi="ar-SA"/>
              </w:rPr>
              <w:t>2.</w:t>
            </w:r>
          </w:p>
        </w:tc>
        <w:tc>
          <w:tcPr>
            <w:tcW w:w="2809" w:type="dxa"/>
            <w:tcBorders/>
          </w:tcPr>
          <w:p>
            <w:pPr>
              <w:pStyle w:val="Normal"/>
              <w:widowControl/>
              <w:spacing w:before="0" w:after="0"/>
              <w:jc w:val="start"/>
              <w:rPr>
                <w:sz w:val="20"/>
                <w:szCs w:val="20"/>
              </w:rPr>
            </w:pPr>
            <w:r>
              <w:rPr>
                <w:sz w:val="20"/>
                <w:szCs w:val="20"/>
                <w:lang w:val="uk-UA" w:bidi="ar-SA"/>
              </w:rPr>
              <w:t>Витрати на 1 представника молоді громади, охопленого роботою молодіжного працівника</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0,016</w:t>
            </w:r>
          </w:p>
        </w:tc>
        <w:tc>
          <w:tcPr>
            <w:tcW w:w="1194" w:type="dxa"/>
            <w:tcBorders/>
          </w:tcPr>
          <w:p>
            <w:pPr>
              <w:pStyle w:val="Normal"/>
              <w:widowControl/>
              <w:spacing w:before="0" w:after="0"/>
              <w:jc w:val="center"/>
              <w:rPr>
                <w:lang w:val="uk-UA" w:bidi="ar-SA"/>
              </w:rPr>
            </w:pPr>
            <w:r>
              <w:rPr>
                <w:lang w:val="uk-UA" w:bidi="ar-SA"/>
              </w:rPr>
              <w:t>0,016</w:t>
            </w:r>
          </w:p>
        </w:tc>
        <w:tc>
          <w:tcPr>
            <w:tcW w:w="1196" w:type="dxa"/>
            <w:tcBorders/>
          </w:tcPr>
          <w:p>
            <w:pPr>
              <w:pStyle w:val="Normal"/>
              <w:widowControl/>
              <w:spacing w:before="0" w:after="0"/>
              <w:jc w:val="center"/>
              <w:rPr>
                <w:lang w:val="uk-UA" w:bidi="ar-SA"/>
              </w:rPr>
            </w:pPr>
            <w:r>
              <w:rPr>
                <w:lang w:val="uk-UA" w:bidi="ar-SA"/>
              </w:rPr>
              <w:t>0,016</w:t>
            </w:r>
          </w:p>
        </w:tc>
        <w:tc>
          <w:tcPr>
            <w:tcW w:w="1197" w:type="dxa"/>
            <w:tcBorders/>
          </w:tcPr>
          <w:p>
            <w:pPr>
              <w:pStyle w:val="Normal"/>
              <w:widowControl/>
              <w:spacing w:before="0" w:after="0"/>
              <w:jc w:val="center"/>
              <w:rPr>
                <w:lang w:val="uk-UA" w:bidi="ar-SA"/>
              </w:rPr>
            </w:pPr>
            <w:r>
              <w:rPr>
                <w:lang w:val="uk-UA" w:bidi="ar-SA"/>
              </w:rPr>
              <w:t>0,048</w:t>
            </w:r>
          </w:p>
        </w:tc>
      </w:tr>
      <w:tr>
        <w:trPr/>
        <w:tc>
          <w:tcPr>
            <w:tcW w:w="560" w:type="dxa"/>
            <w:tcBorders/>
          </w:tcPr>
          <w:p>
            <w:pPr>
              <w:pStyle w:val="Normal"/>
              <w:widowControl/>
              <w:spacing w:before="0" w:after="0"/>
              <w:jc w:val="start"/>
              <w:rPr>
                <w:lang w:val="uk-UA" w:bidi="ar-SA"/>
              </w:rPr>
            </w:pPr>
            <w:r>
              <w:rPr>
                <w:lang w:val="uk-UA" w:bidi="ar-SA"/>
              </w:rPr>
              <w:t>3.</w:t>
            </w:r>
          </w:p>
        </w:tc>
        <w:tc>
          <w:tcPr>
            <w:tcW w:w="2809" w:type="dxa"/>
            <w:tcBorders/>
          </w:tcPr>
          <w:p>
            <w:pPr>
              <w:pStyle w:val="Normal"/>
              <w:widowControl/>
              <w:spacing w:before="0" w:after="0"/>
              <w:jc w:val="start"/>
              <w:rPr>
                <w:sz w:val="20"/>
                <w:szCs w:val="20"/>
              </w:rPr>
            </w:pPr>
            <w:r>
              <w:rPr>
                <w:sz w:val="20"/>
                <w:szCs w:val="20"/>
                <w:lang w:val="uk-UA" w:bidi="ar-SA"/>
              </w:rPr>
              <w:t>Витрати на 1 учасника молодіжного заходу</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0,075</w:t>
            </w:r>
          </w:p>
        </w:tc>
        <w:tc>
          <w:tcPr>
            <w:tcW w:w="1194" w:type="dxa"/>
            <w:tcBorders/>
          </w:tcPr>
          <w:p>
            <w:pPr>
              <w:pStyle w:val="Normal"/>
              <w:widowControl/>
              <w:spacing w:before="0" w:after="0"/>
              <w:jc w:val="center"/>
              <w:rPr>
                <w:lang w:val="uk-UA" w:bidi="ar-SA"/>
              </w:rPr>
            </w:pPr>
            <w:r>
              <w:rPr>
                <w:lang w:val="uk-UA" w:bidi="ar-SA"/>
              </w:rPr>
              <w:t>0,075</w:t>
            </w:r>
          </w:p>
        </w:tc>
        <w:tc>
          <w:tcPr>
            <w:tcW w:w="1196" w:type="dxa"/>
            <w:tcBorders/>
          </w:tcPr>
          <w:p>
            <w:pPr>
              <w:pStyle w:val="Normal"/>
              <w:widowControl/>
              <w:spacing w:before="0" w:after="0"/>
              <w:jc w:val="center"/>
              <w:rPr>
                <w:lang w:val="uk-UA" w:bidi="ar-SA"/>
              </w:rPr>
            </w:pPr>
            <w:r>
              <w:rPr>
                <w:lang w:val="uk-UA" w:bidi="ar-SA"/>
              </w:rPr>
              <w:t>0,075</w:t>
            </w:r>
          </w:p>
        </w:tc>
        <w:tc>
          <w:tcPr>
            <w:tcW w:w="1197" w:type="dxa"/>
            <w:tcBorders/>
          </w:tcPr>
          <w:p>
            <w:pPr>
              <w:pStyle w:val="Normal"/>
              <w:widowControl/>
              <w:spacing w:before="0" w:after="0"/>
              <w:jc w:val="center"/>
              <w:rPr>
                <w:lang w:val="uk-UA" w:bidi="ar-SA"/>
              </w:rPr>
            </w:pPr>
            <w:r>
              <w:rPr>
                <w:lang w:val="uk-UA" w:bidi="ar-SA"/>
              </w:rPr>
              <w:t>0,225</w:t>
            </w:r>
          </w:p>
        </w:tc>
      </w:tr>
      <w:tr>
        <w:trPr/>
        <w:tc>
          <w:tcPr>
            <w:tcW w:w="560" w:type="dxa"/>
            <w:tcBorders/>
          </w:tcPr>
          <w:p>
            <w:pPr>
              <w:pStyle w:val="Normal"/>
              <w:widowControl/>
              <w:spacing w:before="0" w:after="0"/>
              <w:jc w:val="start"/>
              <w:rPr>
                <w:lang w:val="uk-UA" w:bidi="ar-SA"/>
              </w:rPr>
            </w:pPr>
            <w:r>
              <w:rPr>
                <w:lang w:val="uk-UA" w:bidi="ar-SA"/>
              </w:rPr>
              <w:t>4.</w:t>
            </w:r>
          </w:p>
        </w:tc>
        <w:tc>
          <w:tcPr>
            <w:tcW w:w="2809" w:type="dxa"/>
            <w:tcBorders/>
          </w:tcPr>
          <w:p>
            <w:pPr>
              <w:pStyle w:val="Normal"/>
              <w:widowControl/>
              <w:spacing w:before="0" w:after="0"/>
              <w:jc w:val="start"/>
              <w:rPr>
                <w:sz w:val="20"/>
                <w:szCs w:val="20"/>
              </w:rPr>
            </w:pPr>
            <w:r>
              <w:rPr>
                <w:sz w:val="20"/>
                <w:szCs w:val="20"/>
                <w:lang w:val="uk-UA" w:bidi="ar-SA"/>
              </w:rPr>
              <w:t>Витрати на 1 представника молоді громади, залученого до організації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0,09</w:t>
            </w:r>
          </w:p>
          <w:p>
            <w:pPr>
              <w:pStyle w:val="Normal"/>
              <w:widowControl/>
              <w:spacing w:before="0" w:after="0"/>
              <w:jc w:val="center"/>
              <w:rPr>
                <w:lang w:val="uk-UA" w:bidi="ar-SA"/>
              </w:rPr>
            </w:pPr>
            <w:r>
              <w:rPr>
                <w:lang w:val="uk-UA" w:bidi="ar-SA"/>
              </w:rPr>
            </w:r>
          </w:p>
        </w:tc>
        <w:tc>
          <w:tcPr>
            <w:tcW w:w="1194" w:type="dxa"/>
            <w:tcBorders/>
          </w:tcPr>
          <w:p>
            <w:pPr>
              <w:pStyle w:val="Normal"/>
              <w:widowControl/>
              <w:spacing w:before="0" w:after="0"/>
              <w:jc w:val="center"/>
              <w:rPr>
                <w:lang w:val="uk-UA" w:bidi="ar-SA"/>
              </w:rPr>
            </w:pPr>
            <w:r>
              <w:rPr>
                <w:lang w:val="uk-UA" w:bidi="ar-SA"/>
              </w:rPr>
              <w:t>0,09</w:t>
            </w:r>
          </w:p>
        </w:tc>
        <w:tc>
          <w:tcPr>
            <w:tcW w:w="1196" w:type="dxa"/>
            <w:tcBorders/>
          </w:tcPr>
          <w:p>
            <w:pPr>
              <w:pStyle w:val="Normal"/>
              <w:widowControl/>
              <w:spacing w:before="0" w:after="0"/>
              <w:jc w:val="center"/>
              <w:rPr>
                <w:lang w:val="uk-UA" w:bidi="ar-SA"/>
              </w:rPr>
            </w:pPr>
            <w:r>
              <w:rPr>
                <w:lang w:val="uk-UA" w:bidi="ar-SA"/>
              </w:rPr>
              <w:t>0,09</w:t>
            </w:r>
          </w:p>
        </w:tc>
        <w:tc>
          <w:tcPr>
            <w:tcW w:w="1197" w:type="dxa"/>
            <w:tcBorders/>
          </w:tcPr>
          <w:p>
            <w:pPr>
              <w:pStyle w:val="Normal"/>
              <w:widowControl/>
              <w:spacing w:before="0" w:after="0"/>
              <w:jc w:val="center"/>
              <w:rPr>
                <w:lang w:val="uk-UA" w:bidi="ar-SA"/>
              </w:rPr>
            </w:pPr>
            <w:r>
              <w:rPr>
                <w:lang w:val="uk-UA" w:bidi="ar-SA"/>
              </w:rPr>
              <w:t>0,27</w:t>
            </w:r>
          </w:p>
        </w:tc>
      </w:tr>
      <w:tr>
        <w:trPr/>
        <w:tc>
          <w:tcPr>
            <w:tcW w:w="560" w:type="dxa"/>
            <w:tcBorders/>
          </w:tcPr>
          <w:p>
            <w:pPr>
              <w:pStyle w:val="Normal"/>
              <w:widowControl/>
              <w:spacing w:before="0" w:after="0"/>
              <w:jc w:val="start"/>
              <w:rPr>
                <w:lang w:val="uk-UA" w:bidi="ar-SA"/>
              </w:rPr>
            </w:pPr>
            <w:r>
              <w:rPr>
                <w:lang w:val="uk-UA" w:bidi="ar-SA"/>
              </w:rPr>
              <w:t>5.</w:t>
            </w:r>
          </w:p>
        </w:tc>
        <w:tc>
          <w:tcPr>
            <w:tcW w:w="2809" w:type="dxa"/>
            <w:tcBorders/>
          </w:tcPr>
          <w:p>
            <w:pPr>
              <w:pStyle w:val="Normal"/>
              <w:widowControl/>
              <w:spacing w:before="0" w:after="0"/>
              <w:jc w:val="start"/>
              <w:rPr>
                <w:sz w:val="20"/>
                <w:szCs w:val="20"/>
              </w:rPr>
            </w:pPr>
            <w:r>
              <w:rPr>
                <w:sz w:val="20"/>
                <w:szCs w:val="20"/>
                <w:lang w:val="uk-UA" w:bidi="ar-SA"/>
              </w:rPr>
              <w:t>Витрати на 1 переможця конкурсу на отримання Премії серед талановитої молоді громади (виявлених за результатами конкурсу)</w:t>
            </w:r>
          </w:p>
        </w:tc>
        <w:tc>
          <w:tcPr>
            <w:tcW w:w="736" w:type="dxa"/>
            <w:tcBorders/>
          </w:tcPr>
          <w:p>
            <w:pPr>
              <w:pStyle w:val="Normal"/>
              <w:widowControl/>
              <w:spacing w:before="0" w:after="0"/>
              <w:jc w:val="start"/>
              <w:rPr>
                <w:lang w:val="uk-UA" w:bidi="ar-SA"/>
              </w:rPr>
            </w:pPr>
            <w:r>
              <w:rPr>
                <w:lang w:val="uk-UA" w:bidi="ar-SA"/>
              </w:rPr>
              <w:t>тис. грн.</w:t>
            </w:r>
          </w:p>
        </w:tc>
        <w:tc>
          <w:tcPr>
            <w:tcW w:w="1194" w:type="dxa"/>
            <w:tcBorders/>
          </w:tcPr>
          <w:p>
            <w:pPr>
              <w:pStyle w:val="Normal"/>
              <w:widowControl/>
              <w:spacing w:before="0" w:after="0"/>
              <w:jc w:val="center"/>
              <w:rPr>
                <w:lang w:val="uk-UA" w:bidi="ar-SA"/>
              </w:rPr>
            </w:pPr>
            <w:r>
              <w:rPr>
                <w:lang w:val="uk-UA" w:bidi="ar-SA"/>
              </w:rPr>
              <w:t>0,0</w:t>
            </w:r>
          </w:p>
        </w:tc>
        <w:tc>
          <w:tcPr>
            <w:tcW w:w="1195" w:type="dxa"/>
            <w:tcBorders/>
          </w:tcPr>
          <w:p>
            <w:pPr>
              <w:pStyle w:val="Normal"/>
              <w:widowControl/>
              <w:spacing w:before="0" w:after="0"/>
              <w:jc w:val="center"/>
              <w:rPr>
                <w:lang w:val="uk-UA" w:bidi="ar-SA"/>
              </w:rPr>
            </w:pPr>
            <w:r>
              <w:rPr>
                <w:lang w:val="uk-UA" w:bidi="ar-SA"/>
              </w:rPr>
              <w:t>8,0</w:t>
            </w:r>
          </w:p>
        </w:tc>
        <w:tc>
          <w:tcPr>
            <w:tcW w:w="1194" w:type="dxa"/>
            <w:tcBorders/>
          </w:tcPr>
          <w:p>
            <w:pPr>
              <w:pStyle w:val="Normal"/>
              <w:widowControl/>
              <w:spacing w:before="0" w:after="0"/>
              <w:jc w:val="center"/>
              <w:rPr>
                <w:lang w:val="uk-UA" w:bidi="ar-SA"/>
              </w:rPr>
            </w:pPr>
            <w:r>
              <w:rPr>
                <w:lang w:val="uk-UA" w:bidi="ar-SA"/>
              </w:rPr>
              <w:t>8,0</w:t>
            </w:r>
          </w:p>
        </w:tc>
        <w:tc>
          <w:tcPr>
            <w:tcW w:w="1196" w:type="dxa"/>
            <w:tcBorders/>
          </w:tcPr>
          <w:p>
            <w:pPr>
              <w:pStyle w:val="Normal"/>
              <w:widowControl/>
              <w:spacing w:before="0" w:after="0"/>
              <w:jc w:val="center"/>
              <w:rPr>
                <w:lang w:val="uk-UA" w:bidi="ar-SA"/>
              </w:rPr>
            </w:pPr>
            <w:r>
              <w:rPr>
                <w:lang w:val="uk-UA" w:bidi="ar-SA"/>
              </w:rPr>
              <w:t>8,0</w:t>
            </w:r>
          </w:p>
        </w:tc>
        <w:tc>
          <w:tcPr>
            <w:tcW w:w="1197" w:type="dxa"/>
            <w:tcBorders/>
          </w:tcPr>
          <w:p>
            <w:pPr>
              <w:pStyle w:val="Normal"/>
              <w:widowControl/>
              <w:spacing w:before="0" w:after="0"/>
              <w:jc w:val="center"/>
              <w:rPr>
                <w:lang w:val="uk-UA" w:bidi="ar-SA"/>
              </w:rPr>
            </w:pPr>
            <w:r>
              <w:rPr>
                <w:lang w:val="uk-UA" w:bidi="ar-SA"/>
              </w:rPr>
              <w:t>24,0</w:t>
            </w:r>
          </w:p>
        </w:tc>
      </w:tr>
      <w:tr>
        <w:trPr/>
        <w:tc>
          <w:tcPr>
            <w:tcW w:w="10081" w:type="dxa"/>
            <w:gridSpan w:val="8"/>
            <w:tcBorders/>
          </w:tcPr>
          <w:p>
            <w:pPr>
              <w:pStyle w:val="Normal"/>
              <w:widowControl/>
              <w:spacing w:before="0" w:after="0"/>
              <w:jc w:val="center"/>
              <w:rPr>
                <w:lang w:val="uk-UA" w:bidi="ar-SA"/>
              </w:rPr>
            </w:pPr>
            <w:r>
              <w:rPr>
                <w:lang w:val="uk-UA" w:bidi="ar-SA"/>
              </w:rPr>
            </w:r>
          </w:p>
          <w:p>
            <w:pPr>
              <w:pStyle w:val="Normal"/>
              <w:widowControl/>
              <w:spacing w:before="0" w:after="0"/>
              <w:jc w:val="center"/>
              <w:rPr>
                <w:lang w:val="uk-UA" w:bidi="ar-SA"/>
              </w:rPr>
            </w:pPr>
            <w:r>
              <w:rPr>
                <w:lang w:val="en-US" w:bidi="ar-SA"/>
              </w:rPr>
              <w:t>IV</w:t>
            </w:r>
            <w:r>
              <w:rPr>
                <w:lang w:val="uk-UA" w:bidi="ar-SA"/>
              </w:rPr>
              <w:t>. Показники якості</w:t>
            </w:r>
          </w:p>
        </w:tc>
      </w:tr>
      <w:tr>
        <w:trPr/>
        <w:tc>
          <w:tcPr>
            <w:tcW w:w="560" w:type="dxa"/>
            <w:tcBorders/>
          </w:tcPr>
          <w:p>
            <w:pPr>
              <w:pStyle w:val="Normal"/>
              <w:widowControl/>
              <w:spacing w:before="0" w:after="0"/>
              <w:jc w:val="start"/>
              <w:rPr>
                <w:lang w:val="uk-UA" w:bidi="ar-SA"/>
              </w:rPr>
            </w:pPr>
            <w:r>
              <w:rPr>
                <w:lang w:val="uk-UA" w:bidi="ar-SA"/>
              </w:rPr>
              <w:t>1.</w:t>
            </w:r>
          </w:p>
        </w:tc>
        <w:tc>
          <w:tcPr>
            <w:tcW w:w="2809" w:type="dxa"/>
            <w:tcBorders/>
          </w:tcPr>
          <w:p>
            <w:pPr>
              <w:pStyle w:val="Normal"/>
              <w:widowControl/>
              <w:spacing w:before="0" w:after="0"/>
              <w:jc w:val="start"/>
              <w:rPr>
                <w:sz w:val="20"/>
                <w:szCs w:val="20"/>
              </w:rPr>
            </w:pPr>
            <w:r>
              <w:rPr>
                <w:sz w:val="20"/>
                <w:szCs w:val="20"/>
                <w:lang w:val="uk-UA" w:bidi="ar-SA"/>
              </w:rPr>
              <w:t>Відсоток залучення молоді громади до співпраці з міською радою (до чисельності молоді громади 7870 осіб)</w:t>
            </w:r>
          </w:p>
        </w:tc>
        <w:tc>
          <w:tcPr>
            <w:tcW w:w="736" w:type="dxa"/>
            <w:tcBorders/>
          </w:tcPr>
          <w:p>
            <w:pPr>
              <w:pStyle w:val="Normal"/>
              <w:widowControl/>
              <w:spacing w:before="0" w:after="0"/>
              <w:jc w:val="center"/>
              <w:rPr>
                <w:lang w:val="uk-UA" w:bidi="ar-SA"/>
              </w:rPr>
            </w:pPr>
            <w:r>
              <w:rPr>
                <w:lang w:val="uk-UA" w:bidi="ar-SA"/>
              </w:rPr>
              <w:t>%</w:t>
            </w:r>
          </w:p>
        </w:tc>
        <w:tc>
          <w:tcPr>
            <w:tcW w:w="1194" w:type="dxa"/>
            <w:tcBorders/>
          </w:tcPr>
          <w:p>
            <w:pPr>
              <w:pStyle w:val="Normal"/>
              <w:widowControl/>
              <w:spacing w:before="0" w:after="0"/>
              <w:jc w:val="center"/>
              <w:rPr>
                <w:lang w:val="uk-UA" w:bidi="ar-SA"/>
              </w:rPr>
            </w:pPr>
            <w:r>
              <w:rPr>
                <w:lang w:val="uk-UA" w:bidi="ar-SA"/>
              </w:rPr>
              <w:t>0,25</w:t>
            </w:r>
          </w:p>
        </w:tc>
        <w:tc>
          <w:tcPr>
            <w:tcW w:w="1195" w:type="dxa"/>
            <w:tcBorders/>
          </w:tcPr>
          <w:p>
            <w:pPr>
              <w:pStyle w:val="Normal"/>
              <w:widowControl/>
              <w:spacing w:before="0" w:after="0"/>
              <w:jc w:val="center"/>
              <w:rPr>
                <w:lang w:val="uk-UA" w:bidi="ar-SA"/>
              </w:rPr>
            </w:pPr>
            <w:r>
              <w:rPr>
                <w:lang w:val="uk-UA" w:bidi="ar-SA"/>
              </w:rPr>
              <w:t>1,02</w:t>
            </w:r>
          </w:p>
        </w:tc>
        <w:tc>
          <w:tcPr>
            <w:tcW w:w="1194" w:type="dxa"/>
            <w:tcBorders/>
          </w:tcPr>
          <w:p>
            <w:pPr>
              <w:pStyle w:val="Normal"/>
              <w:widowControl/>
              <w:spacing w:before="0" w:after="0"/>
              <w:jc w:val="center"/>
              <w:rPr>
                <w:lang w:val="uk-UA" w:bidi="ar-SA"/>
              </w:rPr>
            </w:pPr>
            <w:r>
              <w:rPr>
                <w:lang w:val="uk-UA" w:bidi="ar-SA"/>
              </w:rPr>
              <w:t>1,02</w:t>
            </w:r>
          </w:p>
        </w:tc>
        <w:tc>
          <w:tcPr>
            <w:tcW w:w="1196" w:type="dxa"/>
            <w:tcBorders/>
          </w:tcPr>
          <w:p>
            <w:pPr>
              <w:pStyle w:val="Normal"/>
              <w:widowControl/>
              <w:spacing w:before="0" w:after="0"/>
              <w:jc w:val="center"/>
              <w:rPr>
                <w:lang w:val="uk-UA" w:bidi="ar-SA"/>
              </w:rPr>
            </w:pPr>
            <w:r>
              <w:rPr>
                <w:lang w:val="uk-UA" w:bidi="ar-SA"/>
              </w:rPr>
              <w:t>1,02</w:t>
            </w:r>
          </w:p>
        </w:tc>
        <w:tc>
          <w:tcPr>
            <w:tcW w:w="1197" w:type="dxa"/>
            <w:tcBorders/>
          </w:tcPr>
          <w:p>
            <w:pPr>
              <w:pStyle w:val="Normal"/>
              <w:widowControl/>
              <w:spacing w:before="0" w:after="0"/>
              <w:jc w:val="center"/>
              <w:rPr>
                <w:lang w:val="uk-UA" w:bidi="ar-SA"/>
              </w:rPr>
            </w:pPr>
            <w:r>
              <w:rPr>
                <w:lang w:val="uk-UA" w:bidi="ar-SA"/>
              </w:rPr>
              <w:t>3,06</w:t>
            </w:r>
          </w:p>
        </w:tc>
      </w:tr>
      <w:tr>
        <w:trPr/>
        <w:tc>
          <w:tcPr>
            <w:tcW w:w="560" w:type="dxa"/>
            <w:tcBorders/>
          </w:tcPr>
          <w:p>
            <w:pPr>
              <w:pStyle w:val="Normal"/>
              <w:widowControl/>
              <w:spacing w:before="0" w:after="0"/>
              <w:jc w:val="start"/>
              <w:rPr>
                <w:lang w:val="uk-UA" w:bidi="ar-SA"/>
              </w:rPr>
            </w:pPr>
            <w:r>
              <w:rPr>
                <w:lang w:val="uk-UA" w:bidi="ar-SA"/>
              </w:rPr>
              <w:t>2.</w:t>
            </w:r>
          </w:p>
        </w:tc>
        <w:tc>
          <w:tcPr>
            <w:tcW w:w="2809" w:type="dxa"/>
            <w:tcBorders/>
          </w:tcPr>
          <w:p>
            <w:pPr>
              <w:pStyle w:val="Normal"/>
              <w:widowControl/>
              <w:spacing w:before="0" w:after="0"/>
              <w:jc w:val="start"/>
              <w:rPr>
                <w:sz w:val="20"/>
                <w:szCs w:val="20"/>
              </w:rPr>
            </w:pPr>
            <w:r>
              <w:rPr>
                <w:sz w:val="20"/>
                <w:szCs w:val="20"/>
                <w:lang w:val="uk-UA" w:bidi="ar-SA"/>
              </w:rPr>
              <w:t>Відсоток охоплення молоді громади роботою молодіжного працівника (до чисельності молоді громади 7870 осіб)</w:t>
            </w:r>
          </w:p>
        </w:tc>
        <w:tc>
          <w:tcPr>
            <w:tcW w:w="736" w:type="dxa"/>
            <w:tcBorders/>
          </w:tcPr>
          <w:p>
            <w:pPr>
              <w:pStyle w:val="Normal"/>
              <w:widowControl/>
              <w:spacing w:before="0" w:after="0"/>
              <w:jc w:val="center"/>
              <w:rPr>
                <w:lang w:val="uk-UA" w:bidi="ar-SA"/>
              </w:rPr>
            </w:pPr>
            <w:r>
              <w:rPr>
                <w:lang w:val="uk-UA" w:bidi="ar-SA"/>
              </w:rPr>
              <w:t>%</w:t>
            </w:r>
          </w:p>
        </w:tc>
        <w:tc>
          <w:tcPr>
            <w:tcW w:w="1194" w:type="dxa"/>
            <w:tcBorders/>
          </w:tcPr>
          <w:p>
            <w:pPr>
              <w:pStyle w:val="Normal"/>
              <w:widowControl/>
              <w:spacing w:before="0" w:after="0"/>
              <w:jc w:val="center"/>
              <w:rPr>
                <w:lang w:val="uk-UA" w:bidi="ar-SA"/>
              </w:rPr>
            </w:pPr>
            <w:r>
              <w:rPr>
                <w:lang w:val="uk-UA" w:bidi="ar-SA"/>
              </w:rPr>
              <w:t>0,0</w:t>
            </w:r>
          </w:p>
          <w:p>
            <w:pPr>
              <w:pStyle w:val="Normal"/>
              <w:widowControl/>
              <w:spacing w:before="0" w:after="0"/>
              <w:jc w:val="center"/>
              <w:rPr>
                <w:lang w:val="uk-UA" w:bidi="ar-SA"/>
              </w:rPr>
            </w:pPr>
            <w:r>
              <w:rPr>
                <w:lang w:val="uk-UA" w:bidi="ar-SA"/>
              </w:rPr>
            </w:r>
          </w:p>
        </w:tc>
        <w:tc>
          <w:tcPr>
            <w:tcW w:w="1195" w:type="dxa"/>
            <w:tcBorders/>
          </w:tcPr>
          <w:p>
            <w:pPr>
              <w:pStyle w:val="Normal"/>
              <w:widowControl/>
              <w:spacing w:before="0" w:after="0"/>
              <w:jc w:val="center"/>
              <w:rPr>
                <w:lang w:val="uk-UA" w:bidi="ar-SA"/>
              </w:rPr>
            </w:pPr>
            <w:r>
              <w:rPr>
                <w:lang w:val="uk-UA" w:bidi="ar-SA"/>
              </w:rPr>
              <w:t>7,62</w:t>
            </w:r>
          </w:p>
        </w:tc>
        <w:tc>
          <w:tcPr>
            <w:tcW w:w="1194" w:type="dxa"/>
            <w:tcBorders/>
          </w:tcPr>
          <w:p>
            <w:pPr>
              <w:pStyle w:val="Normal"/>
              <w:widowControl/>
              <w:spacing w:before="0" w:after="0"/>
              <w:jc w:val="center"/>
              <w:rPr>
                <w:lang w:val="uk-UA" w:bidi="ar-SA"/>
              </w:rPr>
            </w:pPr>
            <w:r>
              <w:rPr>
                <w:lang w:val="uk-UA" w:bidi="ar-SA"/>
              </w:rPr>
              <w:t>7,62</w:t>
            </w:r>
          </w:p>
        </w:tc>
        <w:tc>
          <w:tcPr>
            <w:tcW w:w="1196" w:type="dxa"/>
            <w:tcBorders/>
          </w:tcPr>
          <w:p>
            <w:pPr>
              <w:pStyle w:val="Normal"/>
              <w:widowControl/>
              <w:spacing w:before="0" w:after="0"/>
              <w:jc w:val="center"/>
              <w:rPr>
                <w:lang w:val="uk-UA" w:bidi="ar-SA"/>
              </w:rPr>
            </w:pPr>
            <w:r>
              <w:rPr>
                <w:lang w:val="uk-UA" w:bidi="ar-SA"/>
              </w:rPr>
              <w:t>7,62</w:t>
            </w:r>
          </w:p>
        </w:tc>
        <w:tc>
          <w:tcPr>
            <w:tcW w:w="1197" w:type="dxa"/>
            <w:tcBorders/>
          </w:tcPr>
          <w:p>
            <w:pPr>
              <w:pStyle w:val="Normal"/>
              <w:widowControl/>
              <w:spacing w:before="0" w:after="0"/>
              <w:jc w:val="center"/>
              <w:rPr>
                <w:lang w:val="uk-UA" w:bidi="ar-SA"/>
              </w:rPr>
            </w:pPr>
            <w:r>
              <w:rPr>
                <w:lang w:val="uk-UA" w:bidi="ar-SA"/>
              </w:rPr>
              <w:t>22,86</w:t>
            </w:r>
          </w:p>
        </w:tc>
      </w:tr>
      <w:tr>
        <w:trPr/>
        <w:tc>
          <w:tcPr>
            <w:tcW w:w="560" w:type="dxa"/>
            <w:tcBorders/>
          </w:tcPr>
          <w:p>
            <w:pPr>
              <w:pStyle w:val="Normal"/>
              <w:widowControl/>
              <w:spacing w:before="0" w:after="0"/>
              <w:jc w:val="start"/>
              <w:rPr>
                <w:lang w:val="uk-UA" w:bidi="ar-SA"/>
              </w:rPr>
            </w:pPr>
            <w:r>
              <w:rPr>
                <w:lang w:val="uk-UA" w:bidi="ar-SA"/>
              </w:rPr>
              <w:t>3.</w:t>
            </w:r>
          </w:p>
        </w:tc>
        <w:tc>
          <w:tcPr>
            <w:tcW w:w="2809" w:type="dxa"/>
            <w:tcBorders/>
          </w:tcPr>
          <w:p>
            <w:pPr>
              <w:pStyle w:val="Normal"/>
              <w:widowControl/>
              <w:spacing w:before="0" w:after="0"/>
              <w:jc w:val="start"/>
              <w:rPr>
                <w:sz w:val="20"/>
                <w:szCs w:val="20"/>
              </w:rPr>
            </w:pPr>
            <w:r>
              <w:rPr>
                <w:sz w:val="20"/>
                <w:szCs w:val="20"/>
                <w:lang w:val="uk-UA" w:bidi="ar-SA"/>
              </w:rPr>
              <w:t xml:space="preserve">Відсоток охоплення молоді громади різноманітними заходами та молодіжними активностями, спрямованими на вирішення актуальних проблем молоді (неформальна освіта, становлення особистості, працевлаштування, здоровий спосіб життя, розвиток творчості, змістовне дозвілля </w:t>
            </w:r>
          </w:p>
          <w:p>
            <w:pPr>
              <w:pStyle w:val="Normal"/>
              <w:widowControl/>
              <w:spacing w:before="0" w:after="0"/>
              <w:jc w:val="start"/>
              <w:rPr>
                <w:sz w:val="20"/>
                <w:szCs w:val="20"/>
              </w:rPr>
            </w:pPr>
            <w:r>
              <w:rPr>
                <w:sz w:val="20"/>
                <w:szCs w:val="20"/>
                <w:lang w:val="uk-UA" w:bidi="ar-SA"/>
              </w:rPr>
              <w:t>тощо) - (до чисельності молоді громади 7870 осіб)</w:t>
            </w:r>
          </w:p>
        </w:tc>
        <w:tc>
          <w:tcPr>
            <w:tcW w:w="736" w:type="dxa"/>
            <w:tcBorders/>
          </w:tcPr>
          <w:p>
            <w:pPr>
              <w:pStyle w:val="Normal"/>
              <w:widowControl/>
              <w:spacing w:before="0" w:after="0"/>
              <w:jc w:val="center"/>
              <w:rPr>
                <w:lang w:val="uk-UA" w:bidi="ar-SA"/>
              </w:rPr>
            </w:pPr>
            <w:r>
              <w:rPr>
                <w:lang w:val="uk-UA" w:bidi="ar-SA"/>
              </w:rPr>
              <w:t>%</w:t>
            </w:r>
          </w:p>
        </w:tc>
        <w:tc>
          <w:tcPr>
            <w:tcW w:w="1194" w:type="dxa"/>
            <w:tcBorders/>
          </w:tcPr>
          <w:p>
            <w:pPr>
              <w:pStyle w:val="Normal"/>
              <w:widowControl/>
              <w:spacing w:before="0" w:after="0"/>
              <w:jc w:val="center"/>
              <w:rPr>
                <w:lang w:val="uk-UA" w:bidi="ar-SA"/>
              </w:rPr>
            </w:pPr>
            <w:r>
              <w:rPr>
                <w:lang w:val="uk-UA" w:bidi="ar-SA"/>
              </w:rPr>
              <w:t>2,54</w:t>
            </w:r>
          </w:p>
        </w:tc>
        <w:tc>
          <w:tcPr>
            <w:tcW w:w="1195" w:type="dxa"/>
            <w:tcBorders/>
          </w:tcPr>
          <w:p>
            <w:pPr>
              <w:pStyle w:val="Normal"/>
              <w:widowControl/>
              <w:spacing w:before="0" w:after="0"/>
              <w:jc w:val="center"/>
              <w:rPr>
                <w:lang w:val="uk-UA" w:bidi="ar-SA"/>
              </w:rPr>
            </w:pPr>
            <w:r>
              <w:rPr>
                <w:lang w:val="uk-UA" w:bidi="ar-SA"/>
              </w:rPr>
              <w:t>10,17</w:t>
            </w:r>
          </w:p>
        </w:tc>
        <w:tc>
          <w:tcPr>
            <w:tcW w:w="1194" w:type="dxa"/>
            <w:tcBorders/>
          </w:tcPr>
          <w:p>
            <w:pPr>
              <w:pStyle w:val="Normal"/>
              <w:widowControl/>
              <w:spacing w:before="0" w:after="0"/>
              <w:jc w:val="center"/>
              <w:rPr>
                <w:lang w:val="uk-UA" w:bidi="ar-SA"/>
              </w:rPr>
            </w:pPr>
            <w:r>
              <w:rPr>
                <w:lang w:val="uk-UA" w:bidi="ar-SA"/>
              </w:rPr>
              <w:t>10,17</w:t>
            </w:r>
          </w:p>
        </w:tc>
        <w:tc>
          <w:tcPr>
            <w:tcW w:w="1196" w:type="dxa"/>
            <w:tcBorders/>
          </w:tcPr>
          <w:p>
            <w:pPr>
              <w:pStyle w:val="Normal"/>
              <w:widowControl/>
              <w:spacing w:before="0" w:after="0"/>
              <w:jc w:val="center"/>
              <w:rPr>
                <w:lang w:val="uk-UA" w:bidi="ar-SA"/>
              </w:rPr>
            </w:pPr>
            <w:r>
              <w:rPr>
                <w:lang w:val="uk-UA" w:bidi="ar-SA"/>
              </w:rPr>
              <w:t>10,17</w:t>
            </w:r>
          </w:p>
        </w:tc>
        <w:tc>
          <w:tcPr>
            <w:tcW w:w="1197" w:type="dxa"/>
            <w:tcBorders/>
          </w:tcPr>
          <w:p>
            <w:pPr>
              <w:pStyle w:val="Normal"/>
              <w:widowControl/>
              <w:spacing w:before="0" w:after="0"/>
              <w:jc w:val="center"/>
              <w:rPr>
                <w:lang w:val="uk-UA" w:bidi="ar-SA"/>
              </w:rPr>
            </w:pPr>
            <w:r>
              <w:rPr>
                <w:lang w:val="uk-UA" w:bidi="ar-SA"/>
              </w:rPr>
              <w:t>30,51</w:t>
            </w:r>
          </w:p>
        </w:tc>
      </w:tr>
      <w:tr>
        <w:trPr/>
        <w:tc>
          <w:tcPr>
            <w:tcW w:w="560" w:type="dxa"/>
            <w:tcBorders/>
          </w:tcPr>
          <w:p>
            <w:pPr>
              <w:pStyle w:val="Normal"/>
              <w:widowControl/>
              <w:spacing w:before="0" w:after="0"/>
              <w:jc w:val="start"/>
              <w:rPr>
                <w:lang w:val="uk-UA" w:bidi="ar-SA"/>
              </w:rPr>
            </w:pPr>
            <w:r>
              <w:rPr>
                <w:lang w:val="uk-UA" w:bidi="ar-SA"/>
              </w:rPr>
              <w:t>4.</w:t>
            </w:r>
          </w:p>
        </w:tc>
        <w:tc>
          <w:tcPr>
            <w:tcW w:w="2809" w:type="dxa"/>
            <w:tcBorders/>
          </w:tcPr>
          <w:p>
            <w:pPr>
              <w:pStyle w:val="Normal"/>
              <w:widowControl/>
              <w:spacing w:before="0" w:after="0"/>
              <w:jc w:val="start"/>
              <w:rPr>
                <w:sz w:val="20"/>
                <w:szCs w:val="20"/>
              </w:rPr>
            </w:pPr>
            <w:r>
              <w:rPr>
                <w:sz w:val="20"/>
                <w:szCs w:val="20"/>
                <w:lang w:val="uk-UA" w:bidi="ar-SA"/>
              </w:rPr>
              <w:t>Відсоток залучення молоді громади до організації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tc>
        <w:tc>
          <w:tcPr>
            <w:tcW w:w="736" w:type="dxa"/>
            <w:tcBorders/>
          </w:tcPr>
          <w:p>
            <w:pPr>
              <w:pStyle w:val="Normal"/>
              <w:widowControl/>
              <w:spacing w:before="0" w:after="0"/>
              <w:jc w:val="center"/>
              <w:rPr>
                <w:lang w:val="uk-UA" w:bidi="ar-SA"/>
              </w:rPr>
            </w:pPr>
            <w:r>
              <w:rPr>
                <w:lang w:val="uk-UA" w:bidi="ar-SA"/>
              </w:rPr>
              <w:t>%</w:t>
            </w:r>
          </w:p>
        </w:tc>
        <w:tc>
          <w:tcPr>
            <w:tcW w:w="1194" w:type="dxa"/>
            <w:tcBorders/>
          </w:tcPr>
          <w:p>
            <w:pPr>
              <w:pStyle w:val="Normal"/>
              <w:widowControl/>
              <w:spacing w:before="0" w:after="0"/>
              <w:jc w:val="center"/>
              <w:rPr>
                <w:lang w:val="uk-UA" w:bidi="ar-SA"/>
              </w:rPr>
            </w:pPr>
            <w:r>
              <w:rPr>
                <w:lang w:val="uk-UA" w:bidi="ar-SA"/>
              </w:rPr>
              <w:t>1,91</w:t>
            </w:r>
          </w:p>
        </w:tc>
        <w:tc>
          <w:tcPr>
            <w:tcW w:w="1195" w:type="dxa"/>
            <w:tcBorders/>
          </w:tcPr>
          <w:p>
            <w:pPr>
              <w:pStyle w:val="Normal"/>
              <w:widowControl/>
              <w:spacing w:before="0" w:after="0"/>
              <w:jc w:val="center"/>
              <w:rPr>
                <w:lang w:val="uk-UA" w:bidi="ar-SA"/>
              </w:rPr>
            </w:pPr>
            <w:r>
              <w:rPr>
                <w:lang w:val="uk-UA" w:bidi="ar-SA"/>
              </w:rPr>
              <w:t>6,35</w:t>
            </w:r>
          </w:p>
        </w:tc>
        <w:tc>
          <w:tcPr>
            <w:tcW w:w="1194" w:type="dxa"/>
            <w:tcBorders/>
          </w:tcPr>
          <w:p>
            <w:pPr>
              <w:pStyle w:val="Normal"/>
              <w:widowControl/>
              <w:spacing w:before="0" w:after="0"/>
              <w:jc w:val="center"/>
              <w:rPr>
                <w:lang w:val="uk-UA" w:bidi="ar-SA"/>
              </w:rPr>
            </w:pPr>
            <w:r>
              <w:rPr>
                <w:lang w:val="uk-UA" w:bidi="ar-SA"/>
              </w:rPr>
              <w:t>6,35</w:t>
            </w:r>
          </w:p>
        </w:tc>
        <w:tc>
          <w:tcPr>
            <w:tcW w:w="1196" w:type="dxa"/>
            <w:tcBorders/>
          </w:tcPr>
          <w:p>
            <w:pPr>
              <w:pStyle w:val="Normal"/>
              <w:widowControl/>
              <w:spacing w:before="0" w:after="0"/>
              <w:jc w:val="center"/>
              <w:rPr>
                <w:lang w:val="uk-UA" w:bidi="ar-SA"/>
              </w:rPr>
            </w:pPr>
            <w:r>
              <w:rPr>
                <w:lang w:val="uk-UA" w:bidi="ar-SA"/>
              </w:rPr>
              <w:t>6,35</w:t>
            </w:r>
          </w:p>
        </w:tc>
        <w:tc>
          <w:tcPr>
            <w:tcW w:w="1197" w:type="dxa"/>
            <w:tcBorders/>
          </w:tcPr>
          <w:p>
            <w:pPr>
              <w:pStyle w:val="Normal"/>
              <w:widowControl/>
              <w:spacing w:before="0" w:after="0"/>
              <w:jc w:val="center"/>
              <w:rPr>
                <w:lang w:val="uk-UA" w:bidi="ar-SA"/>
              </w:rPr>
            </w:pPr>
            <w:r>
              <w:rPr>
                <w:lang w:val="uk-UA" w:bidi="ar-SA"/>
              </w:rPr>
              <w:t>19,05</w:t>
            </w:r>
          </w:p>
        </w:tc>
      </w:tr>
      <w:tr>
        <w:trPr/>
        <w:tc>
          <w:tcPr>
            <w:tcW w:w="560" w:type="dxa"/>
            <w:tcBorders/>
          </w:tcPr>
          <w:p>
            <w:pPr>
              <w:pStyle w:val="Normal"/>
              <w:widowControl/>
              <w:spacing w:before="0" w:after="0"/>
              <w:jc w:val="start"/>
              <w:rPr>
                <w:lang w:val="uk-UA" w:bidi="ar-SA"/>
              </w:rPr>
            </w:pPr>
            <w:r>
              <w:rPr>
                <w:lang w:val="uk-UA" w:bidi="ar-SA"/>
              </w:rPr>
              <w:t xml:space="preserve">5. </w:t>
            </w:r>
          </w:p>
        </w:tc>
        <w:tc>
          <w:tcPr>
            <w:tcW w:w="2809" w:type="dxa"/>
            <w:tcBorders/>
          </w:tcPr>
          <w:p>
            <w:pPr>
              <w:pStyle w:val="Normal"/>
              <w:widowControl/>
              <w:spacing w:before="0" w:after="0"/>
              <w:jc w:val="start"/>
              <w:rPr>
                <w:sz w:val="20"/>
                <w:szCs w:val="20"/>
              </w:rPr>
            </w:pPr>
            <w:r>
              <w:rPr>
                <w:sz w:val="20"/>
                <w:szCs w:val="20"/>
                <w:lang w:val="uk-UA" w:bidi="ar-SA"/>
              </w:rPr>
              <w:t>Відсоток охоплення молоді громади підтримкою міської ради (до кількості поданих заяв щодо участі у конкурсі)</w:t>
            </w:r>
          </w:p>
        </w:tc>
        <w:tc>
          <w:tcPr>
            <w:tcW w:w="736" w:type="dxa"/>
            <w:tcBorders/>
          </w:tcPr>
          <w:p>
            <w:pPr>
              <w:pStyle w:val="Normal"/>
              <w:widowControl/>
              <w:spacing w:before="0" w:after="0"/>
              <w:jc w:val="center"/>
              <w:rPr>
                <w:lang w:val="uk-UA" w:bidi="ar-SA"/>
              </w:rPr>
            </w:pPr>
            <w:r>
              <w:rPr>
                <w:lang w:val="uk-UA" w:bidi="ar-SA"/>
              </w:rPr>
              <w:t>%</w:t>
            </w:r>
          </w:p>
        </w:tc>
        <w:tc>
          <w:tcPr>
            <w:tcW w:w="1194" w:type="dxa"/>
            <w:tcBorders/>
          </w:tcPr>
          <w:p>
            <w:pPr>
              <w:pStyle w:val="Normal"/>
              <w:widowControl/>
              <w:spacing w:before="0" w:after="0"/>
              <w:jc w:val="center"/>
              <w:rPr>
                <w:lang w:val="uk-UA" w:bidi="ar-SA"/>
              </w:rPr>
            </w:pPr>
            <w:r>
              <w:rPr>
                <w:lang w:val="uk-UA" w:bidi="ar-SA"/>
              </w:rPr>
              <w:t>0</w:t>
            </w:r>
          </w:p>
        </w:tc>
        <w:tc>
          <w:tcPr>
            <w:tcW w:w="1195" w:type="dxa"/>
            <w:tcBorders/>
          </w:tcPr>
          <w:p>
            <w:pPr>
              <w:pStyle w:val="Normal"/>
              <w:widowControl/>
              <w:spacing w:before="0" w:after="0"/>
              <w:jc w:val="center"/>
              <w:rPr>
                <w:lang w:val="uk-UA" w:bidi="ar-SA"/>
              </w:rPr>
            </w:pPr>
            <w:r>
              <w:rPr>
                <w:lang w:val="uk-UA" w:bidi="ar-SA"/>
              </w:rPr>
              <w:t>100</w:t>
            </w:r>
          </w:p>
        </w:tc>
        <w:tc>
          <w:tcPr>
            <w:tcW w:w="1194" w:type="dxa"/>
            <w:tcBorders/>
          </w:tcPr>
          <w:p>
            <w:pPr>
              <w:pStyle w:val="Normal"/>
              <w:widowControl/>
              <w:spacing w:before="0" w:after="0"/>
              <w:jc w:val="center"/>
              <w:rPr>
                <w:lang w:val="uk-UA" w:bidi="ar-SA"/>
              </w:rPr>
            </w:pPr>
            <w:r>
              <w:rPr>
                <w:lang w:val="uk-UA" w:bidi="ar-SA"/>
              </w:rPr>
              <w:t>100</w:t>
            </w:r>
          </w:p>
        </w:tc>
        <w:tc>
          <w:tcPr>
            <w:tcW w:w="1196" w:type="dxa"/>
            <w:tcBorders/>
          </w:tcPr>
          <w:p>
            <w:pPr>
              <w:pStyle w:val="Normal"/>
              <w:widowControl/>
              <w:spacing w:before="0" w:after="0"/>
              <w:jc w:val="center"/>
              <w:rPr>
                <w:lang w:val="uk-UA" w:bidi="ar-SA"/>
              </w:rPr>
            </w:pPr>
            <w:r>
              <w:rPr>
                <w:lang w:val="uk-UA" w:bidi="ar-SA"/>
              </w:rPr>
              <w:t>100</w:t>
            </w:r>
          </w:p>
        </w:tc>
        <w:tc>
          <w:tcPr>
            <w:tcW w:w="1197" w:type="dxa"/>
            <w:tcBorders/>
          </w:tcPr>
          <w:p>
            <w:pPr>
              <w:pStyle w:val="Normal"/>
              <w:widowControl/>
              <w:spacing w:before="0" w:after="0"/>
              <w:jc w:val="center"/>
              <w:rPr>
                <w:lang w:val="uk-UA" w:bidi="ar-SA"/>
              </w:rPr>
            </w:pPr>
            <w:r>
              <w:rPr>
                <w:lang w:val="uk-UA" w:bidi="ar-SA"/>
              </w:rPr>
              <w:t>100</w:t>
            </w:r>
          </w:p>
        </w:tc>
      </w:tr>
      <w:tr>
        <w:trPr/>
        <w:tc>
          <w:tcPr>
            <w:tcW w:w="560" w:type="dxa"/>
            <w:tcBorders/>
          </w:tcPr>
          <w:p>
            <w:pPr>
              <w:pStyle w:val="Normal"/>
              <w:widowControl/>
              <w:spacing w:before="0" w:after="0"/>
              <w:jc w:val="start"/>
              <w:rPr>
                <w:lang w:val="uk-UA" w:bidi="ar-SA"/>
              </w:rPr>
            </w:pPr>
            <w:r>
              <w:rPr>
                <w:lang w:val="uk-UA" w:bidi="ar-SA"/>
              </w:rPr>
              <w:t>6.</w:t>
            </w:r>
          </w:p>
        </w:tc>
        <w:tc>
          <w:tcPr>
            <w:tcW w:w="2809" w:type="dxa"/>
            <w:tcBorders/>
          </w:tcPr>
          <w:p>
            <w:pPr>
              <w:pStyle w:val="Normal"/>
              <w:widowControl/>
              <w:spacing w:before="0" w:after="0"/>
              <w:jc w:val="start"/>
              <w:rPr>
                <w:sz w:val="20"/>
                <w:szCs w:val="20"/>
              </w:rPr>
            </w:pPr>
            <w:r>
              <w:rPr>
                <w:sz w:val="20"/>
                <w:szCs w:val="20"/>
                <w:lang w:val="uk-UA" w:bidi="ar-SA"/>
              </w:rPr>
              <w:t xml:space="preserve"> </w:t>
            </w:r>
            <w:r>
              <w:rPr>
                <w:sz w:val="20"/>
                <w:szCs w:val="20"/>
                <w:lang w:val="uk-UA" w:bidi="ar-SA"/>
              </w:rPr>
              <w:t>Рівень виконання молодіжних заходів у громаді у плановому періоді відповідно до запланованих показників</w:t>
            </w:r>
          </w:p>
        </w:tc>
        <w:tc>
          <w:tcPr>
            <w:tcW w:w="736" w:type="dxa"/>
            <w:tcBorders/>
          </w:tcPr>
          <w:p>
            <w:pPr>
              <w:pStyle w:val="Normal"/>
              <w:widowControl/>
              <w:spacing w:before="0" w:after="0"/>
              <w:jc w:val="center"/>
              <w:rPr>
                <w:lang w:val="uk-UA" w:bidi="ar-SA"/>
              </w:rPr>
            </w:pPr>
            <w:r>
              <w:rPr>
                <w:lang w:val="uk-UA" w:bidi="ar-SA"/>
              </w:rPr>
              <w:t>%</w:t>
            </w:r>
          </w:p>
        </w:tc>
        <w:tc>
          <w:tcPr>
            <w:tcW w:w="1194" w:type="dxa"/>
            <w:tcBorders/>
          </w:tcPr>
          <w:p>
            <w:pPr>
              <w:pStyle w:val="Normal"/>
              <w:widowControl/>
              <w:spacing w:before="0" w:after="0"/>
              <w:jc w:val="center"/>
              <w:rPr>
                <w:lang w:val="uk-UA" w:bidi="ar-SA"/>
              </w:rPr>
            </w:pPr>
            <w:r>
              <w:rPr>
                <w:lang w:val="uk-UA" w:bidi="ar-SA"/>
              </w:rPr>
              <w:t>0</w:t>
            </w:r>
          </w:p>
        </w:tc>
        <w:tc>
          <w:tcPr>
            <w:tcW w:w="1195" w:type="dxa"/>
            <w:tcBorders/>
          </w:tcPr>
          <w:p>
            <w:pPr>
              <w:pStyle w:val="Normal"/>
              <w:widowControl/>
              <w:spacing w:before="0" w:after="0"/>
              <w:jc w:val="center"/>
              <w:rPr>
                <w:lang w:val="uk-UA" w:bidi="ar-SA"/>
              </w:rPr>
            </w:pPr>
            <w:r>
              <w:rPr>
                <w:lang w:val="uk-UA" w:bidi="ar-SA"/>
              </w:rPr>
              <w:t xml:space="preserve">100 </w:t>
            </w:r>
          </w:p>
        </w:tc>
        <w:tc>
          <w:tcPr>
            <w:tcW w:w="1194" w:type="dxa"/>
            <w:tcBorders/>
          </w:tcPr>
          <w:p>
            <w:pPr>
              <w:pStyle w:val="Normal"/>
              <w:widowControl/>
              <w:spacing w:before="0" w:after="0"/>
              <w:jc w:val="center"/>
              <w:rPr>
                <w:lang w:val="uk-UA" w:bidi="ar-SA"/>
              </w:rPr>
            </w:pPr>
            <w:r>
              <w:rPr>
                <w:lang w:val="uk-UA" w:bidi="ar-SA"/>
              </w:rPr>
              <w:t xml:space="preserve">100 </w:t>
            </w:r>
          </w:p>
        </w:tc>
        <w:tc>
          <w:tcPr>
            <w:tcW w:w="1196" w:type="dxa"/>
            <w:tcBorders/>
          </w:tcPr>
          <w:p>
            <w:pPr>
              <w:pStyle w:val="Normal"/>
              <w:widowControl/>
              <w:spacing w:before="0" w:after="0"/>
              <w:jc w:val="center"/>
              <w:rPr>
                <w:lang w:val="uk-UA" w:bidi="ar-SA"/>
              </w:rPr>
            </w:pPr>
            <w:r>
              <w:rPr>
                <w:lang w:val="uk-UA" w:bidi="ar-SA"/>
              </w:rPr>
              <w:t xml:space="preserve">100 </w:t>
            </w:r>
          </w:p>
        </w:tc>
        <w:tc>
          <w:tcPr>
            <w:tcW w:w="1197" w:type="dxa"/>
            <w:tcBorders/>
          </w:tcPr>
          <w:p>
            <w:pPr>
              <w:pStyle w:val="Normal"/>
              <w:widowControl/>
              <w:spacing w:before="0" w:after="0"/>
              <w:jc w:val="center"/>
              <w:rPr>
                <w:lang w:val="uk-UA" w:bidi="ar-SA"/>
              </w:rPr>
            </w:pPr>
            <w:r>
              <w:rPr>
                <w:lang w:val="uk-UA" w:bidi="ar-SA"/>
              </w:rPr>
              <w:t xml:space="preserve">100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US"/>
        </w:rPr>
      </w:pPr>
      <w:r>
        <w:rPr>
          <w:lang w:val="en-US"/>
        </w:rPr>
      </w:r>
    </w:p>
    <w:p>
      <w:pPr>
        <w:pStyle w:val="Normal"/>
        <w:jc w:val="end"/>
        <w:rPr>
          <w:sz w:val="20"/>
          <w:szCs w:val="20"/>
        </w:rPr>
      </w:pPr>
      <w:r>
        <w:rPr/>
        <w:t xml:space="preserve">Додаток </w:t>
      </w:r>
      <w:r>
        <w:rPr>
          <w:lang w:val="ru-RU"/>
        </w:rPr>
        <w:t>3</w:t>
      </w:r>
      <w:r>
        <w:rPr/>
        <w:br/>
      </w:r>
      <w:r>
        <w:rPr>
          <w:sz w:val="20"/>
          <w:szCs w:val="20"/>
        </w:rPr>
        <w:t xml:space="preserve"> до Програми «Молодь громади» на 2026-2028 роки</w:t>
      </w:r>
    </w:p>
    <w:p>
      <w:pPr>
        <w:pStyle w:val="Normal"/>
        <w:rPr>
          <w:sz w:val="20"/>
          <w:szCs w:val="20"/>
        </w:rPr>
      </w:pPr>
      <w:r>
        <w:rPr>
          <w:sz w:val="20"/>
          <w:szCs w:val="20"/>
        </w:rPr>
      </w:r>
    </w:p>
    <w:p>
      <w:pPr>
        <w:pStyle w:val="Normal"/>
        <w:jc w:val="center"/>
        <w:rPr>
          <w:b/>
          <w:bCs/>
        </w:rPr>
      </w:pPr>
      <w:r>
        <w:rPr>
          <w:b/>
          <w:bCs/>
        </w:rPr>
        <w:t>РЕСУРСНЕ ЗАБЕЗПЕЧЕННЯ ПРОГРАМИ</w:t>
      </w:r>
    </w:p>
    <w:p>
      <w:pPr>
        <w:pStyle w:val="Normal"/>
        <w:rPr/>
      </w:pPr>
      <w:r>
        <w:rPr/>
      </w:r>
    </w:p>
    <w:tbl>
      <w:tblPr>
        <w:tblW w:w="8865" w:type="dxa"/>
        <w:jc w:val="start"/>
        <w:tblInd w:w="0" w:type="dxa"/>
        <w:tblLayout w:type="fixed"/>
        <w:tblCellMar>
          <w:top w:w="0" w:type="dxa"/>
          <w:start w:w="20" w:type="dxa"/>
          <w:bottom w:w="0" w:type="dxa"/>
          <w:end w:w="20" w:type="dxa"/>
        </w:tblCellMar>
        <w:tblLook w:firstRow="0" w:noVBand="1" w:lastRow="0" w:firstColumn="0" w:lastColumn="0" w:noHBand="1" w:val="0600"/>
      </w:tblPr>
      <w:tblGrid>
        <w:gridCol w:w="2475"/>
        <w:gridCol w:w="1627"/>
        <w:gridCol w:w="1560"/>
        <w:gridCol w:w="1560"/>
        <w:gridCol w:w="1643"/>
      </w:tblGrid>
      <w:tr>
        <w:trPr>
          <w:trHeight w:val="525" w:hRule="atLeast"/>
        </w:trPr>
        <w:tc>
          <w:tcPr>
            <w:tcW w:w="2475" w:type="dxa"/>
            <w:vMerge w:val="restart"/>
            <w:tcBorders>
              <w:top w:val="single" w:sz="6" w:space="0" w:color="000000"/>
              <w:start w:val="single" w:sz="6" w:space="0" w:color="000000"/>
              <w:bottom w:val="single" w:sz="6" w:space="0" w:color="000000"/>
              <w:end w:val="single" w:sz="6" w:space="0" w:color="000000"/>
            </w:tcBorders>
            <w:shd w:color="auto" w:fill="FFFFFF" w:val="clear"/>
          </w:tcPr>
          <w:p>
            <w:pPr>
              <w:pStyle w:val="Normal"/>
              <w:spacing w:lineRule="auto" w:line="257"/>
              <w:rPr/>
            </w:pPr>
            <w:r>
              <w:rPr/>
              <w:t>Обсяг коштів, що пропонується залучити на виконання Програми</w:t>
            </w:r>
          </w:p>
        </w:tc>
        <w:tc>
          <w:tcPr>
            <w:tcW w:w="4747" w:type="dxa"/>
            <w:gridSpan w:val="3"/>
            <w:tcBorders>
              <w:top w:val="single" w:sz="6" w:space="0" w:color="000000"/>
              <w:bottom w:val="single" w:sz="6" w:space="0" w:color="000000"/>
              <w:end w:val="single" w:sz="6" w:space="0" w:color="000000"/>
            </w:tcBorders>
            <w:shd w:color="auto" w:fill="FFFFFF" w:val="clear"/>
          </w:tcPr>
          <w:p>
            <w:pPr>
              <w:pStyle w:val="Normal"/>
              <w:spacing w:lineRule="auto" w:line="257"/>
              <w:jc w:val="center"/>
              <w:rPr/>
            </w:pPr>
            <w:r>
              <w:rPr/>
              <w:t>Етапи виконання Програми</w:t>
            </w:r>
          </w:p>
        </w:tc>
        <w:tc>
          <w:tcPr>
            <w:tcW w:w="1643" w:type="dxa"/>
            <w:vMerge w:val="restart"/>
            <w:tcBorders>
              <w:top w:val="single" w:sz="6" w:space="0" w:color="000000"/>
              <w:bottom w:val="single" w:sz="6" w:space="0" w:color="000000"/>
              <w:end w:val="single" w:sz="6" w:space="0" w:color="000000"/>
            </w:tcBorders>
            <w:shd w:color="auto" w:fill="FFFFFF" w:val="clear"/>
          </w:tcPr>
          <w:p>
            <w:pPr>
              <w:pStyle w:val="Normal"/>
              <w:spacing w:lineRule="auto" w:line="257"/>
              <w:rPr/>
            </w:pPr>
            <w:r>
              <w:rPr/>
              <w:t>Всього витрат на виконання Програми</w:t>
            </w:r>
          </w:p>
        </w:tc>
      </w:tr>
      <w:tr>
        <w:trPr>
          <w:trHeight w:val="555" w:hRule="atLeast"/>
        </w:trPr>
        <w:tc>
          <w:tcPr>
            <w:tcW w:w="2475" w:type="dxa"/>
            <w:vMerge w:val="continue"/>
            <w:tcBorders>
              <w:top w:val="single" w:sz="6" w:space="0" w:color="000000"/>
              <w:start w:val="single" w:sz="6" w:space="0" w:color="000000"/>
              <w:bottom w:val="single" w:sz="6" w:space="0" w:color="000000"/>
              <w:end w:val="single" w:sz="6" w:space="0" w:color="000000"/>
            </w:tcBorders>
            <w:tcMar>
              <w:start w:w="108" w:type="dxa"/>
              <w:end w:w="108" w:type="dxa"/>
            </w:tcMar>
            <w:vAlign w:val="center"/>
          </w:tcPr>
          <w:p>
            <w:pPr>
              <w:pStyle w:val="Normal"/>
              <w:spacing w:lineRule="auto" w:line="257"/>
              <w:rPr>
                <w:lang w:val="ru-RU"/>
              </w:rPr>
            </w:pPr>
            <w:r>
              <w:rPr>
                <w:lang w:val="ru-RU"/>
              </w:rPr>
            </w:r>
          </w:p>
        </w:tc>
        <w:tc>
          <w:tcPr>
            <w:tcW w:w="4747" w:type="dxa"/>
            <w:gridSpan w:val="3"/>
            <w:tcBorders>
              <w:bottom w:val="single" w:sz="6" w:space="0" w:color="000000"/>
              <w:end w:val="single" w:sz="6" w:space="0" w:color="000000"/>
            </w:tcBorders>
            <w:shd w:color="auto" w:fill="FFFFFF" w:val="clear"/>
          </w:tcPr>
          <w:p>
            <w:pPr>
              <w:pStyle w:val="Normal"/>
              <w:spacing w:lineRule="auto" w:line="257"/>
              <w:jc w:val="center"/>
              <w:rPr/>
            </w:pPr>
            <w:r>
              <w:rPr/>
              <w:t>І</w:t>
            </w:r>
          </w:p>
        </w:tc>
        <w:tc>
          <w:tcPr>
            <w:tcW w:w="1643" w:type="dxa"/>
            <w:vMerge w:val="continue"/>
            <w:tcBorders>
              <w:top w:val="single" w:sz="6" w:space="0" w:color="000000"/>
              <w:bottom w:val="single" w:sz="6" w:space="0" w:color="000000"/>
              <w:end w:val="single" w:sz="6" w:space="0" w:color="000000"/>
            </w:tcBorders>
            <w:tcMar>
              <w:start w:w="108" w:type="dxa"/>
              <w:end w:w="108" w:type="dxa"/>
            </w:tcMar>
          </w:tcPr>
          <w:p>
            <w:pPr>
              <w:pStyle w:val="Normal"/>
              <w:spacing w:lineRule="auto" w:line="257"/>
              <w:rPr>
                <w:lang w:val="ru-RU"/>
              </w:rPr>
            </w:pPr>
            <w:r>
              <w:rPr>
                <w:lang w:val="ru-RU"/>
              </w:rPr>
            </w:r>
          </w:p>
        </w:tc>
      </w:tr>
      <w:tr>
        <w:trPr>
          <w:trHeight w:val="1215" w:hRule="atLeast"/>
        </w:trPr>
        <w:tc>
          <w:tcPr>
            <w:tcW w:w="2475" w:type="dxa"/>
            <w:vMerge w:val="continue"/>
            <w:tcBorders>
              <w:top w:val="single" w:sz="6" w:space="0" w:color="000000"/>
              <w:start w:val="single" w:sz="6" w:space="0" w:color="000000"/>
              <w:bottom w:val="single" w:sz="6" w:space="0" w:color="000000"/>
              <w:end w:val="single" w:sz="6" w:space="0" w:color="000000"/>
            </w:tcBorders>
            <w:tcMar>
              <w:start w:w="108" w:type="dxa"/>
              <w:end w:w="108" w:type="dxa"/>
            </w:tcMar>
            <w:vAlign w:val="center"/>
          </w:tcPr>
          <w:p>
            <w:pPr>
              <w:pStyle w:val="Normal"/>
              <w:spacing w:lineRule="auto" w:line="257"/>
              <w:rPr>
                <w:lang w:val="ru-RU"/>
              </w:rPr>
            </w:pPr>
            <w:r>
              <w:rPr>
                <w:lang w:val="ru-RU"/>
              </w:rPr>
            </w:r>
          </w:p>
        </w:tc>
        <w:tc>
          <w:tcPr>
            <w:tcW w:w="1627" w:type="dxa"/>
            <w:tcBorders>
              <w:bottom w:val="single" w:sz="6" w:space="0" w:color="000000"/>
              <w:end w:val="single" w:sz="6" w:space="0" w:color="000000"/>
            </w:tcBorders>
            <w:shd w:color="auto" w:fill="FFFFFF" w:val="clear"/>
          </w:tcPr>
          <w:p>
            <w:pPr>
              <w:pStyle w:val="Normal"/>
              <w:spacing w:lineRule="auto" w:line="257"/>
              <w:jc w:val="center"/>
              <w:rPr/>
            </w:pPr>
            <w:r>
              <w:rPr/>
              <w:t>2026 рік</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2027 рік</w:t>
            </w:r>
          </w:p>
        </w:tc>
        <w:tc>
          <w:tcPr>
            <w:tcW w:w="1560" w:type="dxa"/>
            <w:tcBorders>
              <w:bottom w:val="single" w:sz="6" w:space="0" w:color="000000"/>
              <w:end w:val="single" w:sz="6" w:space="0" w:color="000000"/>
            </w:tcBorders>
            <w:shd w:color="auto" w:fill="FFFFFF" w:val="clear"/>
          </w:tcPr>
          <w:p>
            <w:pPr>
              <w:pStyle w:val="Normal"/>
              <w:spacing w:lineRule="auto" w:line="257"/>
              <w:ind w:start="-298"/>
              <w:jc w:val="center"/>
              <w:rPr/>
            </w:pPr>
            <w:r>
              <w:rPr/>
              <w:t>2028 рік</w:t>
            </w:r>
          </w:p>
        </w:tc>
        <w:tc>
          <w:tcPr>
            <w:tcW w:w="1643" w:type="dxa"/>
            <w:vMerge w:val="continue"/>
            <w:tcBorders>
              <w:top w:val="single" w:sz="6" w:space="0" w:color="000000"/>
              <w:bottom w:val="single" w:sz="6" w:space="0" w:color="000000"/>
              <w:end w:val="single" w:sz="6" w:space="0" w:color="000000"/>
            </w:tcBorders>
            <w:tcMar>
              <w:start w:w="108" w:type="dxa"/>
              <w:end w:w="108" w:type="dxa"/>
            </w:tcMar>
            <w:vAlign w:val="center"/>
          </w:tcPr>
          <w:p>
            <w:pPr>
              <w:pStyle w:val="Normal"/>
              <w:spacing w:lineRule="auto" w:line="257"/>
              <w:rPr>
                <w:lang w:val="ru-RU"/>
              </w:rPr>
            </w:pPr>
            <w:r>
              <w:rPr>
                <w:lang w:val="ru-RU"/>
              </w:rPr>
            </w:r>
          </w:p>
        </w:tc>
      </w:tr>
      <w:tr>
        <w:trPr>
          <w:trHeight w:val="355" w:hRule="atLeast"/>
        </w:trPr>
        <w:tc>
          <w:tcPr>
            <w:tcW w:w="2475" w:type="dxa"/>
            <w:tcBorders>
              <w:start w:val="single" w:sz="6" w:space="0" w:color="000000"/>
              <w:bottom w:val="single" w:sz="6" w:space="0" w:color="000000"/>
              <w:end w:val="single" w:sz="6" w:space="0" w:color="000000"/>
            </w:tcBorders>
            <w:shd w:color="auto" w:fill="FFFFFF" w:val="clear"/>
          </w:tcPr>
          <w:p>
            <w:pPr>
              <w:pStyle w:val="Normal"/>
              <w:spacing w:lineRule="auto" w:line="257"/>
              <w:jc w:val="center"/>
              <w:rPr/>
            </w:pPr>
            <w:r>
              <w:rPr/>
              <w:t>1</w:t>
            </w:r>
          </w:p>
        </w:tc>
        <w:tc>
          <w:tcPr>
            <w:tcW w:w="1627" w:type="dxa"/>
            <w:tcBorders>
              <w:bottom w:val="single" w:sz="6" w:space="0" w:color="000000"/>
              <w:end w:val="single" w:sz="6" w:space="0" w:color="000000"/>
            </w:tcBorders>
            <w:shd w:color="auto" w:fill="FFFFFF" w:val="clear"/>
          </w:tcPr>
          <w:p>
            <w:pPr>
              <w:pStyle w:val="Normal"/>
              <w:spacing w:lineRule="auto" w:line="257"/>
              <w:jc w:val="center"/>
              <w:rPr/>
            </w:pPr>
            <w:r>
              <w:rPr/>
              <w:t>2</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3</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4</w:t>
            </w:r>
          </w:p>
        </w:tc>
        <w:tc>
          <w:tcPr>
            <w:tcW w:w="1643" w:type="dxa"/>
            <w:tcBorders>
              <w:bottom w:val="single" w:sz="6" w:space="0" w:color="000000"/>
              <w:end w:val="single" w:sz="6" w:space="0" w:color="000000"/>
            </w:tcBorders>
            <w:shd w:color="auto" w:fill="FFFFFF" w:val="clear"/>
          </w:tcPr>
          <w:p>
            <w:pPr>
              <w:pStyle w:val="Normal"/>
              <w:spacing w:lineRule="auto" w:line="257"/>
              <w:jc w:val="center"/>
              <w:rPr/>
            </w:pPr>
            <w:r>
              <w:rPr/>
              <w:t>5</w:t>
            </w:r>
          </w:p>
        </w:tc>
      </w:tr>
      <w:tr>
        <w:trPr>
          <w:trHeight w:val="720" w:hRule="atLeast"/>
        </w:trPr>
        <w:tc>
          <w:tcPr>
            <w:tcW w:w="2475" w:type="dxa"/>
            <w:tcBorders>
              <w:start w:val="single" w:sz="6" w:space="0" w:color="000000"/>
              <w:bottom w:val="single" w:sz="6" w:space="0" w:color="000000"/>
              <w:end w:val="single" w:sz="6" w:space="0" w:color="000000"/>
            </w:tcBorders>
            <w:shd w:color="auto" w:fill="FFFFFF" w:val="clear"/>
          </w:tcPr>
          <w:p>
            <w:pPr>
              <w:pStyle w:val="Normal"/>
              <w:spacing w:lineRule="auto" w:line="257"/>
              <w:rPr/>
            </w:pPr>
            <w:r>
              <w:rPr/>
              <w:t>Обсяг коштів, всього, зокрема:</w:t>
            </w:r>
          </w:p>
        </w:tc>
        <w:tc>
          <w:tcPr>
            <w:tcW w:w="1627" w:type="dxa"/>
            <w:tcBorders>
              <w:bottom w:val="single" w:sz="6" w:space="0" w:color="000000"/>
              <w:end w:val="single" w:sz="6" w:space="0" w:color="000000"/>
            </w:tcBorders>
            <w:shd w:color="auto" w:fill="FFFFFF" w:val="clear"/>
          </w:tcPr>
          <w:p>
            <w:pPr>
              <w:pStyle w:val="Normal"/>
              <w:spacing w:lineRule="auto" w:line="257"/>
              <w:jc w:val="center"/>
              <w:rPr/>
            </w:pPr>
            <w:r>
              <w:rPr/>
              <w:t>491,593</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491,593</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491,593</w:t>
            </w:r>
          </w:p>
        </w:tc>
        <w:tc>
          <w:tcPr>
            <w:tcW w:w="1643" w:type="dxa"/>
            <w:tcBorders>
              <w:bottom w:val="single" w:sz="6" w:space="0" w:color="000000"/>
              <w:end w:val="single" w:sz="6" w:space="0" w:color="000000"/>
            </w:tcBorders>
            <w:shd w:color="auto" w:fill="FFFFFF" w:val="clear"/>
          </w:tcPr>
          <w:p>
            <w:pPr>
              <w:pStyle w:val="Normal"/>
              <w:spacing w:lineRule="auto" w:line="257"/>
              <w:jc w:val="center"/>
              <w:rPr/>
            </w:pPr>
            <w:r>
              <w:rPr/>
              <w:t>1474,779</w:t>
            </w:r>
          </w:p>
        </w:tc>
      </w:tr>
      <w:tr>
        <w:trPr>
          <w:trHeight w:val="555" w:hRule="atLeast"/>
        </w:trPr>
        <w:tc>
          <w:tcPr>
            <w:tcW w:w="2475" w:type="dxa"/>
            <w:tcBorders>
              <w:start w:val="single" w:sz="6" w:space="0" w:color="000000"/>
              <w:bottom w:val="single" w:sz="6" w:space="0" w:color="000000"/>
              <w:end w:val="single" w:sz="6" w:space="0" w:color="000000"/>
            </w:tcBorders>
            <w:shd w:color="auto" w:fill="FFFFFF" w:val="clear"/>
          </w:tcPr>
          <w:p>
            <w:pPr>
              <w:pStyle w:val="Normal"/>
              <w:spacing w:lineRule="auto" w:line="257"/>
              <w:rPr/>
            </w:pPr>
            <w:r>
              <w:rPr/>
              <w:t>Державний бюджет</w:t>
            </w:r>
          </w:p>
        </w:tc>
        <w:tc>
          <w:tcPr>
            <w:tcW w:w="1627" w:type="dxa"/>
            <w:tcBorders>
              <w:bottom w:val="single" w:sz="6" w:space="0" w:color="000000"/>
              <w:end w:val="single" w:sz="6" w:space="0" w:color="000000"/>
            </w:tcBorders>
            <w:shd w:color="auto" w:fill="FFFFFF" w:val="clear"/>
          </w:tcPr>
          <w:p>
            <w:pPr>
              <w:pStyle w:val="Normal"/>
              <w:spacing w:lineRule="auto" w:line="257"/>
              <w:jc w:val="center"/>
              <w:rPr/>
            </w:pPr>
            <w:r>
              <w:rPr/>
              <w:t>-</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w:t>
            </w:r>
          </w:p>
          <w:p>
            <w:pPr>
              <w:pStyle w:val="Normal"/>
              <w:spacing w:lineRule="auto" w:line="257"/>
              <w:jc w:val="center"/>
              <w:rPr/>
            </w:pPr>
            <w:r>
              <w:rPr/>
            </w:r>
          </w:p>
          <w:p>
            <w:pPr>
              <w:pStyle w:val="Normal"/>
              <w:spacing w:lineRule="auto" w:line="257"/>
              <w:jc w:val="center"/>
              <w:rPr/>
            </w:pPr>
            <w:r>
              <w:rPr/>
            </w:r>
          </w:p>
        </w:tc>
        <w:tc>
          <w:tcPr>
            <w:tcW w:w="1643" w:type="dxa"/>
            <w:tcBorders>
              <w:bottom w:val="single" w:sz="6" w:space="0" w:color="000000"/>
              <w:end w:val="single" w:sz="6" w:space="0" w:color="000000"/>
            </w:tcBorders>
            <w:shd w:color="auto" w:fill="FFFFFF" w:val="clear"/>
          </w:tcPr>
          <w:p>
            <w:pPr>
              <w:pStyle w:val="Normal"/>
              <w:spacing w:lineRule="auto" w:line="257"/>
              <w:jc w:val="center"/>
              <w:rPr/>
            </w:pPr>
            <w:r>
              <w:rPr/>
              <w:t>-</w:t>
            </w:r>
          </w:p>
        </w:tc>
      </w:tr>
      <w:tr>
        <w:trPr>
          <w:trHeight w:val="555" w:hRule="atLeast"/>
        </w:trPr>
        <w:tc>
          <w:tcPr>
            <w:tcW w:w="2475" w:type="dxa"/>
            <w:tcBorders>
              <w:start w:val="single" w:sz="6" w:space="0" w:color="000000"/>
              <w:bottom w:val="single" w:sz="6" w:space="0" w:color="000000"/>
              <w:end w:val="single" w:sz="6" w:space="0" w:color="000000"/>
            </w:tcBorders>
            <w:shd w:color="auto" w:fill="FFFFFF" w:val="clear"/>
          </w:tcPr>
          <w:p>
            <w:pPr>
              <w:pStyle w:val="Normal"/>
              <w:spacing w:lineRule="auto" w:line="257"/>
              <w:rPr/>
            </w:pPr>
            <w:r>
              <w:rPr/>
              <w:t>Обласний бюджет</w:t>
            </w:r>
          </w:p>
        </w:tc>
        <w:tc>
          <w:tcPr>
            <w:tcW w:w="1627" w:type="dxa"/>
            <w:tcBorders>
              <w:bottom w:val="single" w:sz="6" w:space="0" w:color="000000"/>
              <w:end w:val="single" w:sz="6" w:space="0" w:color="000000"/>
            </w:tcBorders>
            <w:shd w:color="auto" w:fill="FFFFFF" w:val="clear"/>
          </w:tcPr>
          <w:p>
            <w:pPr>
              <w:pStyle w:val="Normal"/>
              <w:spacing w:lineRule="auto" w:line="257"/>
              <w:jc w:val="center"/>
              <w:rPr>
                <w:lang w:val="ru-RU"/>
              </w:rPr>
            </w:pPr>
            <w:r>
              <w:rPr>
                <w:lang w:val="ru-RU"/>
              </w:rPr>
              <w:t>-</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w:t>
            </w:r>
          </w:p>
        </w:tc>
        <w:tc>
          <w:tcPr>
            <w:tcW w:w="1643" w:type="dxa"/>
            <w:tcBorders>
              <w:bottom w:val="single" w:sz="6" w:space="0" w:color="000000"/>
              <w:end w:val="single" w:sz="6" w:space="0" w:color="000000"/>
            </w:tcBorders>
            <w:shd w:color="auto" w:fill="FFFFFF" w:val="clear"/>
          </w:tcPr>
          <w:p>
            <w:pPr>
              <w:pStyle w:val="Normal"/>
              <w:spacing w:lineRule="auto" w:line="257"/>
              <w:jc w:val="center"/>
              <w:rPr/>
            </w:pPr>
            <w:r>
              <w:rPr/>
              <w:t>-</w:t>
            </w:r>
          </w:p>
        </w:tc>
      </w:tr>
      <w:tr>
        <w:trPr>
          <w:trHeight w:val="855" w:hRule="atLeast"/>
        </w:trPr>
        <w:tc>
          <w:tcPr>
            <w:tcW w:w="2475" w:type="dxa"/>
            <w:tcBorders>
              <w:start w:val="single" w:sz="6" w:space="0" w:color="000000"/>
              <w:bottom w:val="single" w:sz="6" w:space="0" w:color="000000"/>
              <w:end w:val="single" w:sz="6" w:space="0" w:color="000000"/>
            </w:tcBorders>
            <w:shd w:color="auto" w:fill="FFFFFF" w:val="clear"/>
          </w:tcPr>
          <w:p>
            <w:pPr>
              <w:pStyle w:val="Normal"/>
              <w:spacing w:lineRule="auto" w:line="257"/>
              <w:rPr/>
            </w:pPr>
            <w:r>
              <w:rPr/>
              <w:t>Бюджет Роздільнянської міської територіальної громади</w:t>
            </w:r>
          </w:p>
        </w:tc>
        <w:tc>
          <w:tcPr>
            <w:tcW w:w="1627" w:type="dxa"/>
            <w:tcBorders>
              <w:bottom w:val="single" w:sz="6" w:space="0" w:color="000000"/>
              <w:end w:val="single" w:sz="6" w:space="0" w:color="000000"/>
            </w:tcBorders>
            <w:shd w:color="auto" w:fill="FFFFFF" w:val="clear"/>
          </w:tcPr>
          <w:p>
            <w:pPr>
              <w:pStyle w:val="Normal"/>
              <w:spacing w:lineRule="auto" w:line="257"/>
              <w:jc w:val="center"/>
              <w:rPr/>
            </w:pPr>
            <w:r>
              <w:rPr/>
              <w:t>491,593</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491,593</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491,593</w:t>
            </w:r>
          </w:p>
        </w:tc>
        <w:tc>
          <w:tcPr>
            <w:tcW w:w="1643" w:type="dxa"/>
            <w:tcBorders>
              <w:bottom w:val="single" w:sz="6" w:space="0" w:color="000000"/>
              <w:end w:val="single" w:sz="6" w:space="0" w:color="000000"/>
            </w:tcBorders>
            <w:shd w:color="auto" w:fill="FFFFFF" w:val="clear"/>
          </w:tcPr>
          <w:p>
            <w:pPr>
              <w:pStyle w:val="Normal"/>
              <w:spacing w:lineRule="auto" w:line="257"/>
              <w:jc w:val="center"/>
              <w:rPr/>
            </w:pPr>
            <w:r>
              <w:rPr/>
              <w:t>1474,779</w:t>
            </w:r>
          </w:p>
        </w:tc>
      </w:tr>
      <w:tr>
        <w:trPr>
          <w:trHeight w:val="570" w:hRule="atLeast"/>
        </w:trPr>
        <w:tc>
          <w:tcPr>
            <w:tcW w:w="2475" w:type="dxa"/>
            <w:tcBorders>
              <w:start w:val="single" w:sz="6" w:space="0" w:color="000000"/>
              <w:bottom w:val="single" w:sz="6" w:space="0" w:color="000000"/>
              <w:end w:val="single" w:sz="6" w:space="0" w:color="000000"/>
            </w:tcBorders>
            <w:shd w:color="auto" w:fill="FFFFFF" w:val="clear"/>
          </w:tcPr>
          <w:p>
            <w:pPr>
              <w:pStyle w:val="Normal"/>
              <w:spacing w:lineRule="auto" w:line="257"/>
              <w:rPr/>
            </w:pPr>
            <w:r>
              <w:rPr/>
              <w:t>Інші джерела</w:t>
            </w:r>
          </w:p>
        </w:tc>
        <w:tc>
          <w:tcPr>
            <w:tcW w:w="1627" w:type="dxa"/>
            <w:tcBorders>
              <w:bottom w:val="single" w:sz="6" w:space="0" w:color="000000"/>
              <w:end w:val="single" w:sz="6" w:space="0" w:color="000000"/>
            </w:tcBorders>
            <w:shd w:color="auto" w:fill="FFFFFF" w:val="clear"/>
          </w:tcPr>
          <w:p>
            <w:pPr>
              <w:pStyle w:val="Normal"/>
              <w:spacing w:lineRule="auto" w:line="257"/>
              <w:jc w:val="center"/>
              <w:rPr/>
            </w:pPr>
            <w:r>
              <w:rPr/>
              <w:t>-</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w:t>
            </w:r>
          </w:p>
        </w:tc>
        <w:tc>
          <w:tcPr>
            <w:tcW w:w="1560" w:type="dxa"/>
            <w:tcBorders>
              <w:bottom w:val="single" w:sz="6" w:space="0" w:color="000000"/>
              <w:end w:val="single" w:sz="6" w:space="0" w:color="000000"/>
            </w:tcBorders>
            <w:shd w:color="auto" w:fill="FFFFFF" w:val="clear"/>
          </w:tcPr>
          <w:p>
            <w:pPr>
              <w:pStyle w:val="Normal"/>
              <w:spacing w:lineRule="auto" w:line="257"/>
              <w:jc w:val="center"/>
              <w:rPr/>
            </w:pPr>
            <w:r>
              <w:rPr/>
              <w:t>-</w:t>
            </w:r>
          </w:p>
          <w:p>
            <w:pPr>
              <w:pStyle w:val="Normal"/>
              <w:spacing w:lineRule="auto" w:line="257"/>
              <w:jc w:val="center"/>
              <w:rPr/>
            </w:pPr>
            <w:r>
              <w:rPr/>
            </w:r>
          </w:p>
          <w:p>
            <w:pPr>
              <w:pStyle w:val="Normal"/>
              <w:spacing w:lineRule="auto" w:line="257"/>
              <w:jc w:val="center"/>
              <w:rPr/>
            </w:pPr>
            <w:r>
              <w:rPr/>
            </w:r>
          </w:p>
        </w:tc>
        <w:tc>
          <w:tcPr>
            <w:tcW w:w="1643" w:type="dxa"/>
            <w:tcBorders>
              <w:bottom w:val="single" w:sz="6" w:space="0" w:color="000000"/>
              <w:end w:val="single" w:sz="6" w:space="0" w:color="000000"/>
            </w:tcBorders>
            <w:shd w:color="auto" w:fill="FFFFFF" w:val="clear"/>
          </w:tcPr>
          <w:p>
            <w:pPr>
              <w:pStyle w:val="Normal"/>
              <w:spacing w:lineRule="auto" w:line="257"/>
              <w:jc w:val="center"/>
              <w:rPr/>
            </w:pPr>
            <w:r>
              <w:rPr/>
              <w:t>-</w:t>
            </w:r>
          </w:p>
        </w:tc>
      </w:tr>
    </w:tbl>
    <w:p>
      <w:pPr>
        <w:pStyle w:val="Normal"/>
        <w:rPr>
          <w:lang w:val="ru-RU"/>
        </w:rPr>
      </w:pPr>
      <w:r>
        <w:rPr>
          <w:lang w:val="ru-RU"/>
        </w:rPr>
      </w:r>
    </w:p>
    <w:p>
      <w:pPr>
        <w:pStyle w:val="Normal"/>
        <w:rPr/>
      </w:pPr>
      <w:r>
        <w:rPr/>
      </w:r>
      <w:bookmarkStart w:id="6" w:name="_Hlk212623891"/>
      <w:bookmarkStart w:id="7" w:name="_Hlk212623891"/>
      <w:bookmarkEnd w:id="7"/>
    </w:p>
    <w:p>
      <w:pPr>
        <w:pStyle w:val="Normal"/>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425" w:gutter="0" w:header="709" w:top="766" w:footer="709" w:bottom="766"/>
          <w:pgNumType w:fmt="decimal"/>
          <w:formProt w:val="false"/>
          <w:textDirection w:val="lrTb"/>
          <w:docGrid w:type="default" w:linePitch="360" w:charSpace="0"/>
        </w:sectPr>
        <w:pStyle w:val="Normal"/>
        <w:spacing w:before="0" w:after="0"/>
        <w:rPr/>
      </w:pPr>
      <w:r>
        <w:rPr/>
      </w:r>
    </w:p>
    <w:p>
      <w:pPr>
        <w:pStyle w:val="Normal"/>
        <w:tabs>
          <w:tab w:val="clear" w:pos="708"/>
          <w:tab w:val="left" w:pos="10992" w:leader="none"/>
          <w:tab w:val="left" w:pos="11624" w:leader="none"/>
          <w:tab w:val="left" w:pos="11908" w:leader="none"/>
          <w:tab w:val="left" w:pos="12049" w:leader="none"/>
          <w:tab w:val="left" w:pos="14656" w:leader="none"/>
        </w:tabs>
        <w:ind w:hanging="1701" w:start="12049" w:end="111"/>
        <w:rPr/>
      </w:pPr>
      <w:r>
        <w:rPr/>
      </w:r>
    </w:p>
    <w:p>
      <w:pPr>
        <w:pStyle w:val="Normal"/>
        <w:tabs>
          <w:tab w:val="clear" w:pos="708"/>
          <w:tab w:val="left" w:pos="10992" w:leader="none"/>
          <w:tab w:val="left" w:pos="11624" w:leader="none"/>
          <w:tab w:val="left" w:pos="11908" w:leader="none"/>
          <w:tab w:val="left" w:pos="12049" w:leader="none"/>
          <w:tab w:val="left" w:pos="14656" w:leader="none"/>
        </w:tabs>
        <w:ind w:hanging="1701" w:start="12049" w:end="111"/>
        <w:rPr/>
      </w:pPr>
      <w:r>
        <w:rPr/>
        <w:tab/>
        <w:tab/>
        <w:tab/>
        <w:tab/>
        <w:t xml:space="preserve">                                       Додаток 1</w:t>
      </w:r>
    </w:p>
    <w:p>
      <w:pPr>
        <w:pStyle w:val="Normal"/>
        <w:tabs>
          <w:tab w:val="clear" w:pos="708"/>
          <w:tab w:val="left" w:pos="10992" w:leader="none"/>
          <w:tab w:val="left" w:pos="11624" w:leader="none"/>
          <w:tab w:val="left" w:pos="11908" w:leader="none"/>
          <w:tab w:val="left" w:pos="12049" w:leader="none"/>
          <w:tab w:val="left" w:pos="14656" w:leader="none"/>
        </w:tabs>
        <w:ind w:hanging="1701" w:start="12049" w:end="111"/>
        <w:rPr>
          <w:sz w:val="20"/>
          <w:szCs w:val="20"/>
        </w:rPr>
      </w:pPr>
      <w:r>
        <w:rPr>
          <w:sz w:val="20"/>
          <w:szCs w:val="20"/>
        </w:rPr>
        <w:tab/>
        <w:t>до Програми «Молодь громади» на 2026-2028 роки</w:t>
      </w:r>
    </w:p>
    <w:p>
      <w:pPr>
        <w:pStyle w:val="Normal"/>
        <w:tabs>
          <w:tab w:val="clear" w:pos="708"/>
          <w:tab w:val="left" w:pos="10992" w:leader="none"/>
          <w:tab w:val="left" w:pos="11624" w:leader="none"/>
          <w:tab w:val="left" w:pos="11908" w:leader="none"/>
          <w:tab w:val="left" w:pos="12049" w:leader="none"/>
          <w:tab w:val="left" w:pos="14656" w:leader="none"/>
        </w:tabs>
        <w:ind w:hanging="1701" w:start="12049" w:end="111"/>
        <w:rPr>
          <w:sz w:val="20"/>
          <w:szCs w:val="20"/>
        </w:rPr>
      </w:pPr>
      <w:r>
        <w:rPr>
          <w:sz w:val="20"/>
          <w:szCs w:val="20"/>
        </w:rPr>
      </w:r>
    </w:p>
    <w:p>
      <w:pPr>
        <w:pStyle w:val="Normal"/>
        <w:tabs>
          <w:tab w:val="clear" w:pos="708"/>
          <w:tab w:val="left" w:pos="142" w:leader="none"/>
        </w:tabs>
        <w:jc w:val="center"/>
        <w:rPr>
          <w:b/>
        </w:rPr>
      </w:pPr>
      <w:r>
        <w:rPr>
          <w:b/>
        </w:rPr>
        <w:t>Завдання і заходи реалізації місцевої цільової соціальної Програми «Молодь громади»  на 2026-2028 роки</w:t>
      </w:r>
    </w:p>
    <w:p>
      <w:pPr>
        <w:pStyle w:val="Normal"/>
        <w:tabs>
          <w:tab w:val="clear" w:pos="708"/>
          <w:tab w:val="left" w:pos="142" w:leader="none"/>
        </w:tabs>
        <w:jc w:val="center"/>
        <w:rPr>
          <w:b/>
        </w:rPr>
      </w:pPr>
      <w:r>
        <w:rPr>
          <w:b/>
        </w:rPr>
      </w:r>
    </w:p>
    <w:tbl>
      <w:tblPr>
        <w:tblW w:w="16189" w:type="dxa"/>
        <w:jc w:val="start"/>
        <w:tblInd w:w="108" w:type="dxa"/>
        <w:tblLayout w:type="fixed"/>
        <w:tblCellMar>
          <w:top w:w="0" w:type="dxa"/>
          <w:start w:w="108" w:type="dxa"/>
          <w:bottom w:w="0" w:type="dxa"/>
          <w:end w:w="108" w:type="dxa"/>
        </w:tblCellMar>
        <w:tblLook w:firstRow="1" w:noVBand="0" w:lastRow="1" w:firstColumn="1" w:lastColumn="1" w:noHBand="0" w:val="01e0"/>
      </w:tblPr>
      <w:tblGrid>
        <w:gridCol w:w="2700"/>
        <w:gridCol w:w="4110"/>
        <w:gridCol w:w="852"/>
        <w:gridCol w:w="1416"/>
        <w:gridCol w:w="1135"/>
        <w:gridCol w:w="993"/>
        <w:gridCol w:w="1034"/>
        <w:gridCol w:w="991"/>
        <w:gridCol w:w="945"/>
        <w:gridCol w:w="2013"/>
      </w:tblGrid>
      <w:tr>
        <w:trPr>
          <w:trHeight w:val="1465" w:hRule="atLeast"/>
          <w:cantSplit w:val="true"/>
        </w:trPr>
        <w:tc>
          <w:tcPr>
            <w:tcW w:w="27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rPr>
                <w:b/>
              </w:rPr>
            </w:pPr>
            <w:r>
              <w:rPr>
                <w:b/>
              </w:rPr>
              <w:t>№</w:t>
            </w:r>
            <w:r>
              <w:rPr>
                <w:b/>
              </w:rPr>
              <w:t>з/п     Завдання</w:t>
            </w:r>
          </w:p>
        </w:tc>
        <w:tc>
          <w:tcPr>
            <w:tcW w:w="4110" w:type="dxa"/>
            <w:vMerge w:val="restart"/>
            <w:tcBorders>
              <w:top w:val="single" w:sz="4" w:space="0" w:color="000000"/>
              <w:start w:val="single" w:sz="4" w:space="0" w:color="000000"/>
              <w:bottom w:val="single" w:sz="4" w:space="0" w:color="000000"/>
              <w:end w:val="single" w:sz="4" w:space="0" w:color="000000"/>
            </w:tcBorders>
          </w:tcPr>
          <w:p>
            <w:pPr>
              <w:pStyle w:val="Normal"/>
              <w:ind w:start="-57" w:end="-57"/>
              <w:jc w:val="center"/>
              <w:rPr>
                <w:b/>
              </w:rPr>
            </w:pPr>
            <w:r>
              <w:rPr>
                <w:b/>
              </w:rPr>
              <w:t>Зміст</w:t>
            </w:r>
          </w:p>
          <w:p>
            <w:pPr>
              <w:pStyle w:val="Normal"/>
              <w:tabs>
                <w:tab w:val="clear" w:pos="708"/>
                <w:tab w:val="left" w:pos="142" w:leader="none"/>
              </w:tabs>
              <w:ind w:start="-57" w:end="-57"/>
              <w:jc w:val="center"/>
              <w:rPr>
                <w:b/>
              </w:rPr>
            </w:pPr>
            <w:r>
              <w:rPr>
                <w:b/>
              </w:rPr>
              <w:t>заходів Програми</w:t>
            </w:r>
          </w:p>
        </w:tc>
        <w:tc>
          <w:tcPr>
            <w:tcW w:w="852" w:type="dxa"/>
            <w:vMerge w:val="restart"/>
            <w:tcBorders>
              <w:top w:val="single" w:sz="4" w:space="0" w:color="000000"/>
              <w:start w:val="single" w:sz="4" w:space="0" w:color="000000"/>
              <w:bottom w:val="single" w:sz="4" w:space="0" w:color="000000"/>
              <w:end w:val="single" w:sz="4" w:space="0" w:color="000000"/>
            </w:tcBorders>
            <w:textDirection w:val="btL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t>Термін</w:t>
            </w:r>
          </w:p>
          <w:p>
            <w:pPr>
              <w:pStyle w:val="Normal"/>
              <w:tabs>
                <w:tab w:val="clear" w:pos="708"/>
                <w:tab w:val="left" w:pos="142" w:leader="none"/>
              </w:tabs>
              <w:ind w:start="-57" w:end="-57"/>
              <w:jc w:val="center"/>
              <w:rPr>
                <w:b/>
              </w:rPr>
            </w:pPr>
            <w:r>
              <w:rPr>
                <w:b/>
              </w:rPr>
              <w:t>виконання</w:t>
            </w:r>
          </w:p>
        </w:tc>
        <w:tc>
          <w:tcPr>
            <w:tcW w:w="141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t>Виконавці</w:t>
            </w:r>
          </w:p>
        </w:tc>
        <w:tc>
          <w:tcPr>
            <w:tcW w:w="113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t>Джерела фінансу-вання</w:t>
            </w:r>
          </w:p>
        </w:tc>
        <w:tc>
          <w:tcPr>
            <w:tcW w:w="99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113" w:end="-113"/>
              <w:jc w:val="center"/>
              <w:rPr>
                <w:b/>
              </w:rPr>
            </w:pPr>
            <w:r>
              <w:rPr>
                <w:b/>
              </w:rPr>
              <w:t xml:space="preserve">Орієн-товний обсяг </w:t>
            </w:r>
          </w:p>
          <w:p>
            <w:pPr>
              <w:pStyle w:val="Normal"/>
              <w:tabs>
                <w:tab w:val="clear" w:pos="708"/>
                <w:tab w:val="left" w:pos="142" w:leader="none"/>
              </w:tabs>
              <w:ind w:start="-113" w:end="-113"/>
              <w:jc w:val="center"/>
              <w:rPr>
                <w:b/>
              </w:rPr>
            </w:pPr>
            <w:r>
              <w:rPr>
                <w:b/>
              </w:rPr>
              <w:t xml:space="preserve">фінан-суван-ня, </w:t>
            </w:r>
          </w:p>
          <w:p>
            <w:pPr>
              <w:pStyle w:val="Normal"/>
              <w:tabs>
                <w:tab w:val="clear" w:pos="708"/>
                <w:tab w:val="left" w:pos="142" w:leader="none"/>
              </w:tabs>
              <w:ind w:start="-113" w:end="-113"/>
              <w:jc w:val="center"/>
              <w:rPr>
                <w:b/>
              </w:rPr>
            </w:pPr>
            <w:r>
              <w:rPr>
                <w:b/>
              </w:rPr>
              <w:t>тис. гривень</w:t>
            </w:r>
          </w:p>
        </w:tc>
        <w:tc>
          <w:tcPr>
            <w:tcW w:w="2970"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t xml:space="preserve">у тому числі за роками, </w:t>
            </w:r>
          </w:p>
          <w:p>
            <w:pPr>
              <w:pStyle w:val="Normal"/>
              <w:tabs>
                <w:tab w:val="clear" w:pos="708"/>
                <w:tab w:val="left" w:pos="142" w:leader="none"/>
              </w:tabs>
              <w:ind w:start="-57" w:end="-57"/>
              <w:jc w:val="center"/>
              <w:rPr>
                <w:b/>
              </w:rPr>
            </w:pPr>
            <w:r>
              <w:rPr>
                <w:b/>
              </w:rPr>
              <w:t xml:space="preserve">тис. гривень: </w:t>
            </w:r>
          </w:p>
          <w:p>
            <w:pPr>
              <w:pStyle w:val="Normal"/>
              <w:tabs>
                <w:tab w:val="clear" w:pos="708"/>
                <w:tab w:val="left" w:pos="142" w:leader="none"/>
              </w:tabs>
              <w:ind w:start="-57" w:end="-57"/>
              <w:jc w:val="center"/>
              <w:rPr>
                <w:b/>
              </w:rPr>
            </w:pPr>
            <w:r>
              <w:rPr>
                <w:b/>
              </w:rPr>
            </w:r>
          </w:p>
        </w:tc>
        <w:tc>
          <w:tcPr>
            <w:tcW w:w="201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65" w:leader="none"/>
                <w:tab w:val="left" w:pos="2424" w:leader="none"/>
                <w:tab w:val="left" w:pos="3010" w:leader="none"/>
              </w:tabs>
              <w:ind w:start="-57" w:end="655"/>
              <w:jc w:val="center"/>
              <w:rPr>
                <w:b/>
              </w:rPr>
            </w:pPr>
            <w:r>
              <w:rPr>
                <w:b/>
              </w:rPr>
              <w:t xml:space="preserve">   </w:t>
            </w:r>
            <w:r>
              <w:rPr>
                <w:b/>
              </w:rPr>
              <w:t>Очікувані                                                                результати</w:t>
            </w:r>
          </w:p>
        </w:tc>
      </w:tr>
      <w:tr>
        <w:trPr>
          <w:cantSplit w:val="true"/>
        </w:trPr>
        <w:tc>
          <w:tcPr>
            <w:tcW w:w="2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c>
          <w:tcPr>
            <w:tcW w:w="411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c>
          <w:tcPr>
            <w:tcW w:w="85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c>
          <w:tcPr>
            <w:tcW w:w="141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c>
          <w:tcPr>
            <w:tcW w:w="113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c>
          <w:tcPr>
            <w:tcW w:w="99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t>2026</w:t>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r>
          </w:p>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t>2027</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0" w:leader="none"/>
                <w:tab w:val="left" w:pos="10992" w:leader="none"/>
                <w:tab w:val="left" w:pos="11908" w:leader="none"/>
                <w:tab w:val="left" w:pos="12824" w:leader="none"/>
                <w:tab w:val="left" w:pos="13740" w:leader="none"/>
                <w:tab w:val="left" w:pos="14656" w:leader="none"/>
              </w:tabs>
              <w:ind w:start="-57" w:end="-57"/>
              <w:jc w:val="center"/>
              <w:rPr>
                <w:b/>
              </w:rPr>
            </w:pPr>
            <w:r>
              <w:rPr>
                <w:b/>
              </w:rPr>
              <w:t>2028</w:t>
            </w:r>
          </w:p>
        </w:tc>
        <w:tc>
          <w:tcPr>
            <w:tcW w:w="201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start="-57" w:end="-57"/>
              <w:jc w:val="center"/>
              <w:rPr>
                <w:b/>
              </w:rPr>
            </w:pPr>
            <w:r>
              <w:rPr>
                <w:b/>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1</w:t>
            </w:r>
          </w:p>
          <w:p>
            <w:pPr>
              <w:pStyle w:val="Normal"/>
              <w:tabs>
                <w:tab w:val="clear" w:pos="708"/>
                <w:tab w:val="left" w:pos="142" w:leader="none"/>
              </w:tabs>
              <w:jc w:val="center"/>
              <w:rPr>
                <w:b/>
              </w:rPr>
            </w:pPr>
            <w:r>
              <w:rPr>
                <w:b/>
              </w:rPr>
            </w:r>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2</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4</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5</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6</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7</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8</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9</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
              </w:rPr>
            </w:pPr>
            <w:r>
              <w:rPr>
                <w:b/>
              </w:rPr>
              <w:t>10</w:t>
            </w:r>
          </w:p>
        </w:tc>
      </w:tr>
      <w:tr>
        <w:trPr/>
        <w:tc>
          <w:tcPr>
            <w:tcW w:w="27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color w:themeColor="text1" w:val="000000"/>
              </w:rPr>
            </w:pPr>
            <w:bookmarkStart w:id="8" w:name="_Hlk212641459"/>
            <w:r>
              <w:rPr>
                <w:bCs/>
                <w:color w:themeColor="text1" w:val="000000"/>
              </w:rPr>
              <w:t>1.</w:t>
            </w:r>
            <w:r>
              <w:rPr>
                <w:color w:themeColor="text1" w:val="000000"/>
              </w:rPr>
              <w:t xml:space="preserve"> Створити умови для участі молоді громади у суспільному житті, забезпечення її доступу до прийняття рішень </w:t>
            </w:r>
            <w:bookmarkEnd w:id="8"/>
          </w:p>
        </w:tc>
        <w:tc>
          <w:tcPr>
            <w:tcW w:w="4110" w:type="dxa"/>
            <w:tcBorders>
              <w:top w:val="single" w:sz="4" w:space="0" w:color="000000"/>
              <w:start w:val="single" w:sz="4" w:space="0" w:color="000000"/>
              <w:bottom w:val="single" w:sz="4" w:space="0" w:color="000000"/>
              <w:end w:val="single" w:sz="4" w:space="0" w:color="000000"/>
            </w:tcBorders>
          </w:tcPr>
          <w:p>
            <w:pPr>
              <w:pStyle w:val="Normal"/>
              <w:ind w:firstLine="39"/>
              <w:rPr/>
            </w:pPr>
            <w:r>
              <w:rPr/>
              <w:t xml:space="preserve">1.1. Організаційно-методична, інформаційна та матеріально-технічна підтримка діяльності Молодіжної ради при Роздільнянській міській раді, Молодіжного простору «Молодь. Дія». </w:t>
            </w:r>
          </w:p>
          <w:p>
            <w:pPr>
              <w:pStyle w:val="Normal"/>
              <w:ind w:firstLine="39"/>
              <w:rPr/>
            </w:pPr>
            <w:r>
              <w:rPr/>
            </w:r>
          </w:p>
          <w:p>
            <w:pPr>
              <w:pStyle w:val="Normal"/>
              <w:ind w:firstLine="39"/>
              <w:rPr/>
            </w:pPr>
            <w:r>
              <w:rPr/>
            </w:r>
          </w:p>
          <w:p>
            <w:pPr>
              <w:pStyle w:val="Normal"/>
              <w:tabs>
                <w:tab w:val="clear" w:pos="708"/>
                <w:tab w:val="left" w:pos="142" w:leader="none"/>
              </w:tabs>
              <w:rPr>
                <w:bCs/>
              </w:rPr>
            </w:pPr>
            <w:r>
              <w:rPr>
                <w:bCs/>
              </w:rPr>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30,0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t xml:space="preserve">Забезпечення участі молоді громади у прийнятті рішень та скоординованої діяльності органу місцевого самоврядування та консультативно-дорадчого органу з питань молодіжної політики </w:t>
            </w:r>
          </w:p>
        </w:tc>
      </w:tr>
      <w:tr>
        <w:trPr/>
        <w:tc>
          <w:tcPr>
            <w:tcW w:w="2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r>
          </w:p>
        </w:tc>
        <w:tc>
          <w:tcPr>
            <w:tcW w:w="4110" w:type="dxa"/>
            <w:tcBorders>
              <w:top w:val="single" w:sz="4" w:space="0" w:color="000000"/>
              <w:start w:val="single" w:sz="4" w:space="0" w:color="000000"/>
              <w:bottom w:val="single" w:sz="4" w:space="0" w:color="000000"/>
              <w:end w:val="single" w:sz="4" w:space="0" w:color="000000"/>
            </w:tcBorders>
          </w:tcPr>
          <w:p>
            <w:pPr>
              <w:pStyle w:val="Normal"/>
              <w:rPr/>
            </w:pPr>
            <w:r>
              <w:rPr/>
              <w:t>1.3. Запровадження у громаді в рамках реалізації Національної програми «Молодіжний працівник» діяльності молодіжного працівника, оплата його підготовки, підвищення кваліфікації, роботи з молоддю громади.</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p>
            <w:pPr>
              <w:pStyle w:val="Normal"/>
              <w:tabs>
                <w:tab w:val="clear" w:pos="708"/>
                <w:tab w:val="left" w:pos="142" w:leader="none"/>
              </w:tabs>
              <w:rPr>
                <w:bCs/>
              </w:rPr>
            </w:pPr>
            <w:r>
              <w:rPr>
                <w:bCs/>
              </w:rPr>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379,779</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126,593</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126,593</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126,593</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ind w:end="161"/>
              <w:rPr/>
            </w:pPr>
            <w:r>
              <w:rPr/>
              <w:t>Розвиток  молодіжної інфраструктури  у громаді. Підвищення рівня охоплення молодих мешканців громади молодіжною роботою різних напрямків</w:t>
            </w:r>
          </w:p>
        </w:tc>
      </w:tr>
      <w:tr>
        <w:trPr/>
        <w:tc>
          <w:tcPr>
            <w:tcW w:w="270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bookmarkStart w:id="9" w:name="_Hlk212641583"/>
            <w:r>
              <w:rPr>
                <w:bCs/>
              </w:rPr>
              <w:t>2. Розвивати співпрацю Роздільнянської міської ради з усіма суб’єктами молодіжної роботи у громаді</w:t>
            </w:r>
            <w:bookmarkEnd w:id="9"/>
          </w:p>
        </w:tc>
        <w:tc>
          <w:tcPr>
            <w:tcW w:w="4110" w:type="dxa"/>
            <w:tcBorders>
              <w:top w:val="single" w:sz="4" w:space="0" w:color="000000"/>
              <w:start w:val="single" w:sz="4" w:space="0" w:color="000000"/>
              <w:bottom w:val="single" w:sz="4" w:space="0" w:color="000000"/>
              <w:end w:val="single" w:sz="4" w:space="0" w:color="000000"/>
            </w:tcBorders>
          </w:tcPr>
          <w:p>
            <w:pPr>
              <w:pStyle w:val="Normal"/>
              <w:ind w:firstLine="39"/>
              <w:rPr/>
            </w:pPr>
            <w:r>
              <w:rPr/>
              <w:t>2.1. Надання фінансової підтримки громадським організаціям для проведення заходів з реалізації молодіжної політики.</w:t>
            </w:r>
          </w:p>
          <w:p>
            <w:pPr>
              <w:pStyle w:val="Normal"/>
              <w:tabs>
                <w:tab w:val="clear" w:pos="708"/>
                <w:tab w:val="left" w:pos="142" w:leader="none"/>
              </w:tabs>
              <w:rPr/>
            </w:pPr>
            <w:r>
              <w:rPr/>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30,0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Забезпечення скоординованої діяльності органу місцевого самоврядування з громадськими об’єднаннями  у молодіжній сфері</w:t>
            </w:r>
          </w:p>
        </w:tc>
      </w:tr>
      <w:tr>
        <w:trPr/>
        <w:tc>
          <w:tcPr>
            <w:tcW w:w="2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r>
          </w:p>
        </w:tc>
        <w:tc>
          <w:tcPr>
            <w:tcW w:w="4110" w:type="dxa"/>
            <w:tcBorders>
              <w:top w:val="single" w:sz="4" w:space="0" w:color="000000"/>
              <w:start w:val="single" w:sz="4" w:space="0" w:color="000000"/>
              <w:bottom w:val="single" w:sz="4" w:space="0" w:color="000000"/>
              <w:end w:val="single" w:sz="4" w:space="0" w:color="000000"/>
            </w:tcBorders>
          </w:tcPr>
          <w:p>
            <w:pPr>
              <w:pStyle w:val="Normal"/>
              <w:ind w:firstLine="39"/>
              <w:rPr/>
            </w:pPr>
            <w:r>
              <w:rPr/>
              <w:t>2.2. Заходи, спрямовані на забезпечення гендерної рівності у сфері самореалізації молоді та на підвищення рівня гендерної компетентності серед молоді та усіх суб’єктів молодіжної роботи.</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Дотримання гендерної рівності при здійсненні молодіжної роботи у громаді</w:t>
            </w:r>
          </w:p>
        </w:tc>
      </w:tr>
      <w:tr>
        <w:trPr/>
        <w:tc>
          <w:tcPr>
            <w:tcW w:w="2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r>
          </w:p>
        </w:tc>
        <w:tc>
          <w:tcPr>
            <w:tcW w:w="4110" w:type="dxa"/>
            <w:tcBorders>
              <w:top w:val="single" w:sz="4" w:space="0" w:color="000000"/>
              <w:start w:val="single" w:sz="4" w:space="0" w:color="000000"/>
              <w:bottom w:val="single" w:sz="4" w:space="0" w:color="000000"/>
              <w:end w:val="single" w:sz="4" w:space="0" w:color="000000"/>
            </w:tcBorders>
          </w:tcPr>
          <w:p>
            <w:pPr>
              <w:pStyle w:val="Normal"/>
              <w:ind w:firstLine="39"/>
              <w:rPr/>
            </w:pPr>
            <w:r>
              <w:rPr/>
              <w:t xml:space="preserve">2.3. Залучення молоді до співпраці з міською радою до роботи в консультативно-дорадчих органах міської ради та робочих групах, до стажування у виконавчих органах міської ради, до громадських слухань та громадських обговорень. </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Забезпечення участі молоді громади у прийнятті рішень, підвищення рівня активності молоді, її зацікавленості у житті громади</w:t>
            </w:r>
          </w:p>
        </w:tc>
      </w:tr>
      <w:tr>
        <w:trPr/>
        <w:tc>
          <w:tcPr>
            <w:tcW w:w="2700" w:type="dxa"/>
            <w:vMerge w:val="restart"/>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bCs/>
                <w:sz w:val="22"/>
                <w:szCs w:val="20"/>
                <w:lang w:eastAsia="uk-UA"/>
              </w:rPr>
            </w:pPr>
            <w:r>
              <w:rPr>
                <w:rFonts w:eastAsia="Calibri"/>
                <w:lang w:eastAsia="uk-UA"/>
              </w:rPr>
              <w:t xml:space="preserve">3. </w:t>
            </w:r>
            <w:bookmarkStart w:id="10" w:name="_Hlk212641708"/>
            <w:r>
              <w:rPr>
                <w:rFonts w:eastAsia="Calibri"/>
                <w:lang w:eastAsia="uk-UA"/>
              </w:rPr>
              <w:t>Забезпечити безбар’єрний та інклюзивний розвиток для всіх категорій молоді</w:t>
            </w:r>
            <w:bookmarkEnd w:id="10"/>
          </w:p>
          <w:p>
            <w:pPr>
              <w:pStyle w:val="Normal"/>
              <w:rPr>
                <w:rFonts w:ascii="Calibri" w:hAnsi="Calibri" w:eastAsia="Calibri"/>
                <w:bCs/>
                <w:sz w:val="22"/>
                <w:szCs w:val="20"/>
                <w:lang w:eastAsia="uk-UA"/>
              </w:rPr>
            </w:pPr>
            <w:r>
              <w:rPr>
                <w:rFonts w:eastAsia="Calibri" w:ascii="Calibri" w:hAnsi="Calibri"/>
                <w:bCs/>
                <w:sz w:val="22"/>
                <w:szCs w:val="20"/>
                <w:lang w:eastAsia="uk-UA"/>
              </w:rPr>
            </w:r>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3.1. Залучення до участі у молодіжних заходах усіх категорій молоді, у тому числі молодих ветеранів війни, молодих військовослужбовців, молоді із вразливих груп населення, з числа внутрішньо переміщених осіб, осіб з інвалідністю тощо.</w:t>
            </w:r>
          </w:p>
          <w:p>
            <w:pPr>
              <w:pStyle w:val="Normal"/>
              <w:tabs>
                <w:tab w:val="clear" w:pos="708"/>
                <w:tab w:val="left" w:pos="142" w:leader="none"/>
              </w:tabs>
              <w:rPr/>
            </w:pPr>
            <w:r>
              <w:rPr/>
            </w:r>
          </w:p>
          <w:p>
            <w:pPr>
              <w:pStyle w:val="Normal"/>
              <w:ind w:firstLine="39"/>
              <w:rPr/>
            </w:pPr>
            <w:r>
              <w:rPr/>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Підвищення рівня активності молоді, її зацікавленості у житті громади, забезпечення її безбар’єрного та інклюзивного розвитку</w:t>
            </w:r>
          </w:p>
        </w:tc>
      </w:tr>
      <w:tr>
        <w:trPr/>
        <w:tc>
          <w:tcPr>
            <w:tcW w:w="2700" w:type="dxa"/>
            <w:vMerge w:val="continue"/>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sz w:val="22"/>
                <w:szCs w:val="20"/>
                <w:lang w:eastAsia="uk-UA"/>
              </w:rPr>
            </w:pPr>
            <w:r>
              <w:rPr>
                <w:rFonts w:eastAsia="Calibri" w:ascii="Calibri" w:hAnsi="Calibri"/>
                <w:sz w:val="22"/>
                <w:szCs w:val="20"/>
                <w:lang w:eastAsia="uk-UA"/>
              </w:rPr>
            </w:r>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3.2. Всебічна підтримка ініціатив молоді та  різноманітних форм молодіжних активностей: семінари, тренінги, круглі столи, конференції, форуми, акції, конкурси, фестивалі, ігри, творчі вечори, профорієнтаційні бесіди, зустрічі з цікавими людьми, пленери, табори, походи, майстер-класи, інтелектуальні змагання, вишколи, дебати, моніторинги, воркшопи, турніри, квести, вебінари, презентації, інформаційні кампанії, розроблення та виготовлення друкованих, фото- та відеоматеріалів, виготовлення аксесуарів з логотипами тощо.</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Відділи  молоді та спорту, освіти, культури, соціальної політики, служба у справах дітей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180,0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60,0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60,0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60,0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Розширення форм та засобів  комунікації молоді з метою розгляду та вирішення її актуальних проблем (неформальна освіта, становлення особистості, працевлаштування, здоровий спосіб життя, змістовне дозвілля тощо).</w:t>
            </w:r>
          </w:p>
          <w:p>
            <w:pPr>
              <w:pStyle w:val="Normal"/>
              <w:tabs>
                <w:tab w:val="clear" w:pos="708"/>
                <w:tab w:val="left" w:pos="142" w:leader="none"/>
              </w:tabs>
              <w:rPr/>
            </w:pPr>
            <w:r>
              <w:rPr/>
            </w:r>
          </w:p>
        </w:tc>
      </w:tr>
      <w:tr>
        <w:trPr/>
        <w:tc>
          <w:tcPr>
            <w:tcW w:w="270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r>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3.3. Організація та проведення урочистих і святкових заходів до визначних та пам’ятних дат України, зокрема, до Дня молоді, Дня захисту дітей тощо.</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освіти, культури, соціальної політики, служба у справах дітей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75,0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25,0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25,0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25,0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Покращення обізнаності молоді громади щодо історичних подій та визначних постатей України</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rFonts w:ascii="Calibri" w:hAnsi="Calibri" w:eastAsia="Calibri"/>
                <w:bCs/>
                <w:sz w:val="22"/>
                <w:szCs w:val="20"/>
                <w:lang w:eastAsia="uk-UA"/>
              </w:rPr>
            </w:pPr>
            <w:r>
              <w:rPr>
                <w:color w:val="000000"/>
                <w:lang w:eastAsia="uk-UA"/>
              </w:rPr>
              <w:t xml:space="preserve">4. </w:t>
            </w:r>
            <w:bookmarkStart w:id="11" w:name="_Hlk212642061"/>
            <w:r>
              <w:rPr>
                <w:color w:val="000000"/>
                <w:lang w:eastAsia="uk-UA"/>
              </w:rPr>
              <w:t>Створити умови для реалізації молодіжного потенціалу, забезпечення мотивації для самовдосконалення, творчого та професійного розвитку особистості</w:t>
            </w:r>
            <w:bookmarkEnd w:id="11"/>
          </w:p>
          <w:p>
            <w:pPr>
              <w:pStyle w:val="Normal"/>
              <w:tabs>
                <w:tab w:val="clear" w:pos="708"/>
                <w:tab w:val="left" w:pos="142" w:leader="none"/>
              </w:tabs>
              <w:rPr/>
            </w:pPr>
            <w:r>
              <w:rPr/>
            </w:r>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4.1. Присудження щорічної Премії Роздільнянської міської ради талановитій молоді (особисто, колективи, команди, групи тощо) за досягнення у різних сферах суспільного життя.</w:t>
            </w:r>
          </w:p>
          <w:p>
            <w:pPr>
              <w:pStyle w:val="Normal"/>
              <w:tabs>
                <w:tab w:val="clear" w:pos="708"/>
                <w:tab w:val="left" w:pos="142" w:leader="none"/>
              </w:tabs>
              <w:rPr/>
            </w:pPr>
            <w:r>
              <w:rPr/>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Роздільнянська міська рада</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720,0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240,0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240,0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240,0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Реалізація потенціалу молоді громади у різних сферах суспільного життя</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 xml:space="preserve">5. </w:t>
            </w:r>
            <w:bookmarkStart w:id="12" w:name="_Hlk212642132"/>
            <w:r>
              <w:rPr/>
              <w:t>Здійснювати роботу з формування та утвердження української національної та громадянської ідентичності</w:t>
            </w:r>
            <w:bookmarkEnd w:id="12"/>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5.1. Проведення молодіжних заходів, спрямованих на формування та утвердження української національної та громадянської ідентичності, а саме на національно-патріотичне виховання, військово-патріотичне виховання, громадянську освіту</w:t>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2026-2028 роки</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Відділ молоді та спорту, освіти, культури, соціальної політики, служба у справах дітей Роздільнянської міської ради</w:t>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60,0</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20,0</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rPr>
            </w:pPr>
            <w:r>
              <w:rPr>
                <w:bCs/>
              </w:rPr>
              <w:t>20,0</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Підвищення рівня громадянської свідомості, активної патріотичної позиції молоді громади</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t>Всього</w:t>
            </w:r>
          </w:p>
        </w:tc>
        <w:tc>
          <w:tcPr>
            <w:tcW w:w="41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r>
          </w:p>
        </w:tc>
        <w:tc>
          <w:tcPr>
            <w:tcW w:w="8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r>
          </w:p>
        </w:tc>
        <w:tc>
          <w:tcPr>
            <w:tcW w:w="11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bCs/>
              </w:rPr>
            </w:pPr>
            <w:r>
              <w:rPr>
                <w:bCs/>
              </w:rPr>
              <w:t>Міський бюджет</w:t>
            </w:r>
          </w:p>
        </w:tc>
        <w:tc>
          <w:tcPr>
            <w:tcW w:w="99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0"/>
                <w:szCs w:val="20"/>
              </w:rPr>
            </w:pPr>
            <w:r>
              <w:rPr>
                <w:bCs/>
                <w:sz w:val="20"/>
                <w:szCs w:val="20"/>
              </w:rPr>
              <w:t>1474,779</w:t>
            </w:r>
          </w:p>
        </w:tc>
        <w:tc>
          <w:tcPr>
            <w:tcW w:w="103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491,593</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491,593</w:t>
            </w:r>
          </w:p>
        </w:tc>
        <w:tc>
          <w:tcPr>
            <w:tcW w:w="94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jc w:val="center"/>
              <w:rPr>
                <w:bCs/>
                <w:sz w:val="22"/>
                <w:szCs w:val="22"/>
              </w:rPr>
            </w:pPr>
            <w:r>
              <w:rPr>
                <w:bCs/>
                <w:sz w:val="22"/>
                <w:szCs w:val="22"/>
              </w:rPr>
              <w:t>491,593</w:t>
            </w:r>
          </w:p>
        </w:tc>
        <w:tc>
          <w:tcPr>
            <w:tcW w:w="201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42" w:leader="none"/>
              </w:tabs>
              <w:rPr/>
            </w:pPr>
            <w:r>
              <w:rPr/>
            </w:r>
          </w:p>
        </w:tc>
      </w:tr>
    </w:tbl>
    <w:p>
      <w:pPr>
        <w:pStyle w:val="Normal"/>
        <w:jc w:val="both"/>
        <w:rPr/>
      </w:pPr>
      <w:r>
        <w:rPr/>
      </w:r>
    </w:p>
    <w:p>
      <w:pPr>
        <w:pStyle w:val="Normal"/>
        <w:rPr/>
      </w:pPr>
      <w:r>
        <w:rPr/>
      </w:r>
    </w:p>
    <w:sectPr>
      <w:headerReference w:type="default" r:id="rId8"/>
      <w:headerReference w:type="first" r:id="rId9"/>
      <w:footerReference w:type="default" r:id="rId10"/>
      <w:footerReference w:type="first" r:id="rId11"/>
      <w:type w:val="nextPage"/>
      <w:pgSz w:orient="landscape" w:w="16838" w:h="11906"/>
      <w:pgMar w:left="425" w:right="567" w:gutter="0" w:header="709" w:top="766"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Antiqua">
    <w:charset w:val="cc" w:characterSet="windows-1251"/>
    <w:family w:val="swiss"/>
    <w:pitch w:val="variable"/>
  </w:font>
  <w:font w:name="Calibri">
    <w:charset w:val="cc" w:characterSet="windows-125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Рам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Fonts w:eastAsia="" w:eastAsiaTheme="majorEastAsia"/>
                            </w:rPr>
                          </w:pPr>
                          <w:r>
                            <w:rPr>
                              <w:rStyle w:val="PageNumber"/>
                              <w:rFonts w:eastAsia="" w:eastAsiaTheme="majorEastAsia"/>
                            </w:rPr>
                            <w:fldChar w:fldCharType="begin"/>
                          </w:r>
                          <w:r>
                            <w:rPr>
                              <w:rStyle w:val="PageNumber"/>
                              <w:rFonts w:eastAsia=""/>
                            </w:rPr>
                            <w:instrText xml:space="preserve"> PAGE </w:instrText>
                          </w:r>
                          <w:r>
                            <w:rPr>
                              <w:rStyle w:val="PageNumber"/>
                              <w:rFonts w:eastAsia=""/>
                            </w:rPr>
                            <w:fldChar w:fldCharType="separate"/>
                          </w:r>
                          <w:r>
                            <w:rPr>
                              <w:rStyle w:val="PageNumber"/>
                              <w:rFonts w:eastAsia=""/>
                            </w:rPr>
                            <w:t>0</w:t>
                          </w:r>
                          <w:r>
                            <w:rPr>
                              <w:rStyle w:val="PageNumber"/>
                              <w:rFonts w:eastAsi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Fonts w:eastAsia="" w:eastAsiaTheme="majorEastAsia"/>
                      </w:rPr>
                    </w:pPr>
                    <w:r>
                      <w:rPr>
                        <w:rStyle w:val="PageNumber"/>
                        <w:rFonts w:eastAsia="" w:eastAsiaTheme="majorEastAsia"/>
                      </w:rPr>
                      <w:fldChar w:fldCharType="begin"/>
                    </w:r>
                    <w:r>
                      <w:rPr>
                        <w:rStyle w:val="PageNumber"/>
                        <w:rFonts w:eastAsia=""/>
                      </w:rPr>
                      <w:instrText xml:space="preserve"> PAGE </w:instrText>
                    </w:r>
                    <w:r>
                      <w:rPr>
                        <w:rStyle w:val="PageNumber"/>
                        <w:rFonts w:eastAsia=""/>
                      </w:rPr>
                      <w:fldChar w:fldCharType="separate"/>
                    </w:r>
                    <w:r>
                      <w:rPr>
                        <w:rStyle w:val="PageNumber"/>
                        <w:rFonts w:eastAsia=""/>
                      </w:rPr>
                      <w:t>0</w:t>
                    </w:r>
                    <w:r>
                      <w:rPr>
                        <w:rStyle w:val="PageNumber"/>
                        <w:rFonts w:eastAsia=""/>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Рам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Fonts w:eastAsia="" w:eastAsiaTheme="majorEastAsia"/>
                            </w:rPr>
                          </w:pPr>
                          <w:r>
                            <w:rPr>
                              <w:rStyle w:val="PageNumber"/>
                              <w:rFonts w:eastAsia="" w:eastAsiaTheme="majorEastAsia"/>
                            </w:rPr>
                            <w:fldChar w:fldCharType="begin"/>
                          </w:r>
                          <w:r>
                            <w:rPr>
                              <w:rStyle w:val="PageNumber"/>
                              <w:rFonts w:eastAsia=""/>
                            </w:rPr>
                            <w:instrText xml:space="preserve"> PAGE </w:instrText>
                          </w:r>
                          <w:r>
                            <w:rPr>
                              <w:rStyle w:val="PageNumber"/>
                              <w:rFonts w:eastAsia=""/>
                            </w:rPr>
                            <w:fldChar w:fldCharType="separate"/>
                          </w:r>
                          <w:r>
                            <w:rPr>
                              <w:rStyle w:val="PageNumber"/>
                              <w:rFonts w:eastAsia=""/>
                            </w:rPr>
                            <w:t>0</w:t>
                          </w:r>
                          <w:r>
                            <w:rPr>
                              <w:rStyle w:val="PageNumber"/>
                              <w:rFonts w:eastAsi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Fonts w:eastAsia="" w:eastAsiaTheme="majorEastAsia"/>
                      </w:rPr>
                    </w:pPr>
                    <w:r>
                      <w:rPr>
                        <w:rStyle w:val="PageNumber"/>
                        <w:rFonts w:eastAsia="" w:eastAsiaTheme="majorEastAsia"/>
                      </w:rPr>
                      <w:fldChar w:fldCharType="begin"/>
                    </w:r>
                    <w:r>
                      <w:rPr>
                        <w:rStyle w:val="PageNumber"/>
                        <w:rFonts w:eastAsia=""/>
                      </w:rPr>
                      <w:instrText xml:space="preserve"> PAGE </w:instrText>
                    </w:r>
                    <w:r>
                      <w:rPr>
                        <w:rStyle w:val="PageNumber"/>
                        <w:rFonts w:eastAsia=""/>
                      </w:rPr>
                      <w:fldChar w:fldCharType="separate"/>
                    </w:r>
                    <w:r>
                      <w:rPr>
                        <w:rStyle w:val="PageNumber"/>
                        <w:rFonts w:eastAsia=""/>
                      </w:rPr>
                      <w:t>0</w:t>
                    </w:r>
                    <w:r>
                      <w:rPr>
                        <w:rStyle w:val="PageNumber"/>
                        <w:rFonts w:eastAsia=""/>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75260"/>
              <wp:effectExtent l="0" t="0" r="0" b="0"/>
              <wp:wrapSquare wrapText="bothSides"/>
              <wp:docPr id="2" name="Рамка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rPr>
                              <w:rStyle w:val="PageNumber"/>
                              <w:rFonts w:eastAsia="" w:eastAsiaTheme="majorEastAsia"/>
                            </w:rPr>
                          </w:pPr>
                          <w:r>
                            <w:rPr>
                              <w:rFonts w:eastAsia="" w:eastAsiaTheme="majorEastAsia"/>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51pt;mso-position-horizontal:center;mso-position-horizontal-relative:margin">
              <v:fill opacity="0f"/>
              <v:textbox inset="0in,0in,0in,0in">
                <w:txbxContent>
                  <w:p>
                    <w:pPr>
                      <w:pStyle w:val="Header"/>
                      <w:pBdr/>
                      <w:rPr>
                        <w:rStyle w:val="PageNumber"/>
                        <w:rFonts w:eastAsia="" w:eastAsiaTheme="majorEastAsia"/>
                      </w:rPr>
                    </w:pPr>
                    <w:r>
                      <w:rPr>
                        <w:rFonts w:eastAsia="" w:eastAsiaTheme="majorEastAsia"/>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75260"/>
              <wp:effectExtent l="0" t="0" r="0" b="0"/>
              <wp:wrapSquare wrapText="bothSides"/>
              <wp:docPr id="3" name="Рамка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rPr>
                              <w:rStyle w:val="PageNumber"/>
                              <w:rFonts w:eastAsia="" w:eastAsiaTheme="majorEastAsia"/>
                            </w:rPr>
                          </w:pPr>
                          <w:r>
                            <w:rPr>
                              <w:rFonts w:eastAsia="" w:eastAsiaTheme="majorEastAsia"/>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51pt;mso-position-horizontal:center;mso-position-horizontal-relative:margin">
              <v:fill opacity="0f"/>
              <v:textbox inset="0in,0in,0in,0in">
                <w:txbxContent>
                  <w:p>
                    <w:pPr>
                      <w:pStyle w:val="Header"/>
                      <w:pBdr/>
                      <w:rPr>
                        <w:rStyle w:val="PageNumber"/>
                        <w:rFonts w:eastAsia="" w:eastAsiaTheme="majorEastAsia"/>
                      </w:rPr>
                    </w:pPr>
                    <w:r>
                      <w:rPr>
                        <w:rFonts w:eastAsia="" w:eastAsiaTheme="majorEastAsia"/>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605" cy="175260"/>
              <wp:effectExtent l="0" t="0" r="0" b="0"/>
              <wp:wrapSquare wrapText="bothSides"/>
              <wp:docPr id="5" name="Рамка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rPr>
                              <w:rStyle w:val="PageNumber"/>
                              <w:rFonts w:eastAsia="" w:eastAsiaTheme="majorEastAsia"/>
                            </w:rPr>
                          </w:pPr>
                          <w:r>
                            <w:rPr>
                              <w:rFonts w:eastAsia="" w:eastAsiaTheme="majorEastAsia"/>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395.6pt;mso-position-horizontal:center;mso-position-horizontal-relative:margin">
              <v:fill opacity="0f"/>
              <v:textbox inset="0in,0in,0in,0in">
                <w:txbxContent>
                  <w:p>
                    <w:pPr>
                      <w:pStyle w:val="Header"/>
                      <w:pBdr/>
                      <w:rPr>
                        <w:rStyle w:val="PageNumber"/>
                        <w:rFonts w:eastAsia="" w:eastAsiaTheme="majorEastAsia"/>
                      </w:rPr>
                    </w:pPr>
                    <w:r>
                      <w:rPr>
                        <w:rFonts w:eastAsia="" w:eastAsiaTheme="majorEastAsia"/>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644" w:hanging="360"/>
      </w:pPr>
      <w:rPr>
        <w:sz w:val="24"/>
        <w:b w:val="false"/>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7"/>
      <w:numFmt w:val="decimal"/>
      <w:lvlText w:val="%1."/>
      <w:lvlJc w:val="start"/>
      <w:pPr>
        <w:tabs>
          <w:tab w:val="num" w:pos="0"/>
        </w:tabs>
        <w:ind w:start="36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8"/>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3"/>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4f7c"/>
    <w:pPr>
      <w:widowControl/>
      <w:bidi w:val="0"/>
      <w:spacing w:lineRule="auto" w:line="240" w:before="0" w:after="0"/>
      <w:jc w:val="start"/>
    </w:pPr>
    <w:rPr>
      <w:rFonts w:ascii="Times New Roman" w:hAnsi="Times New Roman" w:eastAsia="Times New Roman" w:cs="Times New Roman"/>
      <w:color w:val="auto"/>
      <w:kern w:val="0"/>
      <w:sz w:val="24"/>
      <w:szCs w:val="24"/>
      <w:lang w:eastAsia="ru-RU" w:val="uk-UA" w:bidi="ar-SA"/>
    </w:rPr>
  </w:style>
  <w:style w:type="paragraph" w:styleId="Heading1">
    <w:name w:val="heading 1"/>
    <w:basedOn w:val="Normal"/>
    <w:next w:val="Normal"/>
    <w:link w:val="1"/>
    <w:qFormat/>
    <w:rsid w:val="006a48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nhideWhenUsed/>
    <w:qFormat/>
    <w:rsid w:val="006a48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6a48d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6a48d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6a48d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6a48d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6a48d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6a48d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6a48d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6a48de"/>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qFormat/>
    <w:rsid w:val="006a48de"/>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6a48de"/>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uiPriority w:val="9"/>
    <w:semiHidden/>
    <w:qFormat/>
    <w:rsid w:val="006a48de"/>
    <w:rPr>
      <w:rFonts w:eastAsia="" w:cs="" w:cstheme="majorBidi" w:eastAsiaTheme="majorEastAsia"/>
      <w:i/>
      <w:iCs/>
      <w:color w:themeColor="accent1" w:themeShade="bf" w:val="2F5496"/>
    </w:rPr>
  </w:style>
  <w:style w:type="character" w:styleId="5" w:customStyle="1">
    <w:name w:val="Заголовок 5 Знак"/>
    <w:basedOn w:val="DefaultParagraphFont"/>
    <w:uiPriority w:val="9"/>
    <w:semiHidden/>
    <w:qFormat/>
    <w:rsid w:val="006a48de"/>
    <w:rPr>
      <w:rFonts w:eastAsia="" w:cs="" w:cstheme="majorBidi" w:eastAsiaTheme="majorEastAsia"/>
      <w:color w:themeColor="accent1" w:themeShade="bf" w:val="2F5496"/>
    </w:rPr>
  </w:style>
  <w:style w:type="character" w:styleId="6" w:customStyle="1">
    <w:name w:val="Заголовок 6 Знак"/>
    <w:basedOn w:val="DefaultParagraphFont"/>
    <w:uiPriority w:val="9"/>
    <w:semiHidden/>
    <w:qFormat/>
    <w:rsid w:val="006a48de"/>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6a48de"/>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6a48de"/>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6a48de"/>
    <w:rPr>
      <w:rFonts w:eastAsia="" w:cs="" w:cstheme="majorBidi" w:eastAsiaTheme="majorEastAsia"/>
      <w:color w:themeColor="text1" w:themeTint="d8" w:val="272727"/>
    </w:rPr>
  </w:style>
  <w:style w:type="character" w:styleId="Style5" w:customStyle="1">
    <w:name w:val="Заголовок Знак"/>
    <w:basedOn w:val="DefaultParagraphFont"/>
    <w:uiPriority w:val="10"/>
    <w:qFormat/>
    <w:rsid w:val="006a48de"/>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6a48de"/>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6a48de"/>
    <w:rPr>
      <w:i/>
      <w:iCs/>
      <w:color w:themeColor="text1" w:themeTint="bf" w:val="404040"/>
    </w:rPr>
  </w:style>
  <w:style w:type="character" w:styleId="IntenseEmphasis">
    <w:name w:val="Intense Emphasis"/>
    <w:basedOn w:val="DefaultParagraphFont"/>
    <w:uiPriority w:val="21"/>
    <w:qFormat/>
    <w:rsid w:val="006a48de"/>
    <w:rPr>
      <w:i/>
      <w:iCs/>
      <w:color w:themeColor="accent1" w:themeShade="bf" w:val="2F5496"/>
    </w:rPr>
  </w:style>
  <w:style w:type="character" w:styleId="Style7" w:customStyle="1">
    <w:name w:val="Выделенная цитата Знак"/>
    <w:basedOn w:val="DefaultParagraphFont"/>
    <w:link w:val="IntenseQuote"/>
    <w:uiPriority w:val="30"/>
    <w:qFormat/>
    <w:rsid w:val="006a48de"/>
    <w:rPr>
      <w:i/>
      <w:iCs/>
      <w:color w:themeColor="accent1" w:themeShade="bf" w:val="2F5496"/>
    </w:rPr>
  </w:style>
  <w:style w:type="character" w:styleId="IntenseReference">
    <w:name w:val="Intense Reference"/>
    <w:basedOn w:val="DefaultParagraphFont"/>
    <w:uiPriority w:val="32"/>
    <w:qFormat/>
    <w:rsid w:val="006a48de"/>
    <w:rPr>
      <w:b/>
      <w:bCs/>
      <w:smallCaps/>
      <w:color w:themeColor="accent1" w:themeShade="bf" w:val="2F5496"/>
      <w:spacing w:val="5"/>
    </w:rPr>
  </w:style>
  <w:style w:type="character" w:styleId="Style8" w:customStyle="1">
    <w:name w:val="Верхний колонтитул Знак"/>
    <w:basedOn w:val="DefaultParagraphFont"/>
    <w:qFormat/>
    <w:rsid w:val="00ae4f7c"/>
    <w:rPr>
      <w:rFonts w:ascii="Times New Roman" w:hAnsi="Times New Roman" w:eastAsia="Times New Roman" w:cs="Times New Roman"/>
      <w:kern w:val="0"/>
      <w:sz w:val="24"/>
      <w:szCs w:val="24"/>
      <w:lang w:eastAsia="ru-RU"/>
    </w:rPr>
  </w:style>
  <w:style w:type="character" w:styleId="PageNumber">
    <w:name w:val="page number"/>
    <w:basedOn w:val="DefaultParagraphFont"/>
    <w:rsid w:val="00ae4f7c"/>
    <w:rPr/>
  </w:style>
  <w:style w:type="character" w:styleId="Style9" w:customStyle="1">
    <w:name w:val="Нижний колонтитул Знак"/>
    <w:basedOn w:val="DefaultParagraphFont"/>
    <w:qFormat/>
    <w:rsid w:val="00ae4f7c"/>
    <w:rPr>
      <w:rFonts w:ascii="Times New Roman" w:hAnsi="Times New Roman" w:eastAsia="Times New Roman" w:cs="Times New Roman"/>
      <w:kern w:val="0"/>
      <w:sz w:val="24"/>
      <w:szCs w:val="24"/>
      <w:lang w:eastAsia="ru-RU"/>
    </w:rPr>
  </w:style>
  <w:style w:type="character" w:styleId="Style10" w:customStyle="1">
    <w:name w:val="Основной текст Знак"/>
    <w:basedOn w:val="DefaultParagraphFont"/>
    <w:qFormat/>
    <w:rsid w:val="00ae4f7c"/>
    <w:rPr>
      <w:rFonts w:ascii="Times New Roman" w:hAnsi="Times New Roman" w:eastAsia="Times New Roman" w:cs="Times New Roman"/>
      <w:kern w:val="0"/>
      <w:sz w:val="28"/>
      <w:szCs w:val="24"/>
      <w:lang w:eastAsia="ru-RU"/>
    </w:rPr>
  </w:style>
  <w:style w:type="character" w:styleId="Emphasis">
    <w:name w:val="Emphasis"/>
    <w:qFormat/>
    <w:rsid w:val="00ae4f7c"/>
    <w:rPr>
      <w:i/>
      <w:iCs/>
    </w:rPr>
  </w:style>
  <w:style w:type="character" w:styleId="rvts0" w:customStyle="1">
    <w:name w:val="rvts0"/>
    <w:basedOn w:val="DefaultParagraphFont"/>
    <w:qFormat/>
    <w:rsid w:val="00ae4f7c"/>
    <w:rPr/>
  </w:style>
  <w:style w:type="character" w:styleId="CommentReference">
    <w:name w:val="annotation reference"/>
    <w:basedOn w:val="DefaultParagraphFont"/>
    <w:uiPriority w:val="99"/>
    <w:semiHidden/>
    <w:unhideWhenUsed/>
    <w:qFormat/>
    <w:rsid w:val="004115d4"/>
    <w:rPr>
      <w:sz w:val="16"/>
      <w:szCs w:val="16"/>
    </w:rPr>
  </w:style>
  <w:style w:type="character" w:styleId="Style11" w:customStyle="1">
    <w:name w:val="Текст примечания Знак"/>
    <w:basedOn w:val="DefaultParagraphFont"/>
    <w:uiPriority w:val="99"/>
    <w:semiHidden/>
    <w:qFormat/>
    <w:rsid w:val="004115d4"/>
    <w:rPr>
      <w:rFonts w:ascii="Times New Roman" w:hAnsi="Times New Roman" w:eastAsia="Times New Roman" w:cs="Times New Roman"/>
      <w:kern w:val="0"/>
      <w:sz w:val="20"/>
      <w:szCs w:val="20"/>
      <w:lang w:eastAsia="ru-RU"/>
    </w:rPr>
  </w:style>
  <w:style w:type="character" w:styleId="Style12" w:customStyle="1">
    <w:name w:val="Тема примечания Знак"/>
    <w:basedOn w:val="Style11"/>
    <w:link w:val="annotationsubject"/>
    <w:uiPriority w:val="99"/>
    <w:semiHidden/>
    <w:qFormat/>
    <w:rsid w:val="004115d4"/>
    <w:rPr>
      <w:rFonts w:ascii="Times New Roman" w:hAnsi="Times New Roman" w:eastAsia="Times New Roman" w:cs="Times New Roman"/>
      <w:b/>
      <w:bCs/>
      <w:kern w:val="0"/>
      <w:sz w:val="20"/>
      <w:szCs w:val="20"/>
      <w:lang w:eastAsia="ru-RU"/>
    </w:rPr>
  </w:style>
  <w:style w:type="character" w:styleId="Style13" w:customStyle="1">
    <w:name w:val="Текст выноски Знак"/>
    <w:basedOn w:val="DefaultParagraphFont"/>
    <w:link w:val="BalloonText"/>
    <w:uiPriority w:val="99"/>
    <w:semiHidden/>
    <w:qFormat/>
    <w:rsid w:val="0072461c"/>
    <w:rPr>
      <w:rFonts w:ascii="Segoe UI" w:hAnsi="Segoe UI" w:eastAsia="Times New Roman" w:cs="Segoe UI"/>
      <w:kern w:val="0"/>
      <w:sz w:val="18"/>
      <w:szCs w:val="18"/>
      <w:lang w:eastAsia="ru-RU"/>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0"/>
    <w:rsid w:val="00ae4f7c"/>
    <w:pPr/>
    <w:rPr>
      <w:sz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Title">
    <w:name w:val="Title"/>
    <w:basedOn w:val="Normal"/>
    <w:next w:val="Normal"/>
    <w:link w:val="Style5"/>
    <w:uiPriority w:val="10"/>
    <w:qFormat/>
    <w:rsid w:val="006a48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6a48de"/>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6a48de"/>
    <w:pPr>
      <w:spacing w:before="160" w:after="0"/>
      <w:jc w:val="center"/>
    </w:pPr>
    <w:rPr>
      <w:i/>
      <w:iCs/>
      <w:color w:themeColor="text1" w:themeTint="bf" w:val="404040"/>
    </w:rPr>
  </w:style>
  <w:style w:type="paragraph" w:styleId="ListParagraph">
    <w:name w:val="List Paragraph"/>
    <w:basedOn w:val="Normal"/>
    <w:uiPriority w:val="34"/>
    <w:qFormat/>
    <w:rsid w:val="006a48de"/>
    <w:pPr>
      <w:spacing w:before="0" w:after="0"/>
      <w:ind w:start="720"/>
      <w:contextualSpacing/>
    </w:pPr>
    <w:rPr/>
  </w:style>
  <w:style w:type="paragraph" w:styleId="IntenseQuote">
    <w:name w:val="Intense Quote"/>
    <w:basedOn w:val="Normal"/>
    <w:next w:val="Normal"/>
    <w:link w:val="Style7"/>
    <w:uiPriority w:val="30"/>
    <w:qFormat/>
    <w:rsid w:val="006a48de"/>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Style16">
    <w:name w:val="Верхній і нижній колонтитули"/>
    <w:basedOn w:val="Normal"/>
    <w:qFormat/>
    <w:pPr/>
    <w:rPr/>
  </w:style>
  <w:style w:type="paragraph" w:styleId="Header">
    <w:name w:val="header"/>
    <w:basedOn w:val="Normal"/>
    <w:link w:val="Style8"/>
    <w:rsid w:val="00ae4f7c"/>
    <w:pPr>
      <w:tabs>
        <w:tab w:val="clear" w:pos="708"/>
        <w:tab w:val="center" w:pos="4677" w:leader="none"/>
        <w:tab w:val="right" w:pos="9355" w:leader="none"/>
      </w:tabs>
    </w:pPr>
    <w:rPr/>
  </w:style>
  <w:style w:type="paragraph" w:styleId="Footer">
    <w:name w:val="footer"/>
    <w:basedOn w:val="Normal"/>
    <w:link w:val="Style9"/>
    <w:rsid w:val="00ae4f7c"/>
    <w:pPr>
      <w:tabs>
        <w:tab w:val="clear" w:pos="708"/>
        <w:tab w:val="center" w:pos="4677" w:leader="none"/>
        <w:tab w:val="right" w:pos="9355" w:leader="none"/>
      </w:tabs>
    </w:pPr>
    <w:rPr/>
  </w:style>
  <w:style w:type="paragraph" w:styleId="Style17" w:customStyle="1">
    <w:name w:val="Нормальний текст"/>
    <w:basedOn w:val="Normal"/>
    <w:qFormat/>
    <w:rsid w:val="00ae4f7c"/>
    <w:pPr>
      <w:spacing w:before="120" w:after="0"/>
      <w:ind w:firstLine="567"/>
      <w:jc w:val="both"/>
    </w:pPr>
    <w:rPr>
      <w:rFonts w:ascii="Antiqua" w:hAnsi="Antiqua"/>
      <w:sz w:val="26"/>
      <w:szCs w:val="20"/>
    </w:rPr>
  </w:style>
  <w:style w:type="paragraph" w:styleId="11" w:customStyle="1">
    <w:name w:val="Абзац списка1"/>
    <w:basedOn w:val="Normal"/>
    <w:qFormat/>
    <w:rsid w:val="00ae4f7c"/>
    <w:pPr>
      <w:spacing w:before="0" w:after="0"/>
      <w:ind w:start="720"/>
      <w:contextualSpacing/>
    </w:pPr>
    <w:rPr>
      <w:lang w:val="ru-RU"/>
    </w:rPr>
  </w:style>
  <w:style w:type="paragraph" w:styleId="12" w:customStyle="1">
    <w:name w:val="Звичайний1"/>
    <w:qFormat/>
    <w:rsid w:val="00aa3144"/>
    <w:pPr>
      <w:widowControl/>
      <w:bidi w:val="0"/>
      <w:spacing w:lineRule="auto" w:line="276" w:before="0" w:after="200"/>
      <w:jc w:val="start"/>
    </w:pPr>
    <w:rPr>
      <w:rFonts w:ascii="Calibri" w:hAnsi="Calibri" w:eastAsia="Calibri" w:cs="Times New Roman" w:asciiTheme="minorHAnsi" w:eastAsiaTheme="minorHAnsi" w:hAnsiTheme="minorHAnsi"/>
      <w:color w:val="auto"/>
      <w:kern w:val="0"/>
      <w:sz w:val="22"/>
      <w:szCs w:val="20"/>
      <w:lang w:eastAsia="uk-UA" w:val="uk-UA" w:bidi="ar-SA"/>
    </w:rPr>
  </w:style>
  <w:style w:type="paragraph" w:styleId="CommentText">
    <w:name w:val="annotation text"/>
    <w:basedOn w:val="Normal"/>
    <w:link w:val="Style11"/>
    <w:uiPriority w:val="99"/>
    <w:semiHidden/>
    <w:unhideWhenUsed/>
    <w:rsid w:val="004115d4"/>
    <w:pPr/>
    <w:rPr>
      <w:sz w:val="20"/>
      <w:szCs w:val="20"/>
    </w:rPr>
  </w:style>
  <w:style w:type="paragraph" w:styleId="annotationsubject">
    <w:name w:val="annotation subject"/>
    <w:basedOn w:val="CommentText"/>
    <w:next w:val="CommentText"/>
    <w:link w:val="Style12"/>
    <w:uiPriority w:val="99"/>
    <w:semiHidden/>
    <w:unhideWhenUsed/>
    <w:qFormat/>
    <w:rsid w:val="004115d4"/>
    <w:pPr/>
    <w:rPr>
      <w:b/>
      <w:bCs/>
    </w:rPr>
  </w:style>
  <w:style w:type="paragraph" w:styleId="BalloonText">
    <w:name w:val="Balloon Text"/>
    <w:basedOn w:val="Normal"/>
    <w:link w:val="Style13"/>
    <w:uiPriority w:val="99"/>
    <w:semiHidden/>
    <w:unhideWhenUsed/>
    <w:qFormat/>
    <w:rsid w:val="0072461c"/>
    <w:pPr/>
    <w:rPr>
      <w:rFonts w:ascii="Segoe UI" w:hAnsi="Segoe UI" w:cs="Segoe UI"/>
      <w:sz w:val="18"/>
      <w:szCs w:val="18"/>
    </w:rPr>
  </w:style>
  <w:style w:type="paragraph" w:styleId="Style18">
    <w:name w:val="Вміст рамки"/>
    <w:basedOn w:val="Normal"/>
    <w:qFormat/>
    <w:pPr/>
    <w:rPr/>
  </w:style>
  <w:style w:type="numbering" w:styleId="Style1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39"/>
    <w:rsid w:val="00a257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6FC81-8DA3-43D9-B015-169A2DAF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LibreOffice/25.8.3.2$Windows_x86 LibreOffice_project/8ca8d55c161d602844f5428fa4b58097424e324e</Application>
  <AppVersion>15.0000</AppVersion>
  <Pages>16</Pages>
  <Words>3591</Words>
  <Characters>24423</Characters>
  <CharactersWithSpaces>28105</CharactersWithSpaces>
  <Paragraphs>496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2025-12-15T13:06:00Z</dcterms:created>
  <dc:creator>Тетяна Шайдук</dc:creator>
  <dc:description/>
  <dc:language>uk-UA</dc:language>
  <cp:lastModifiedBy/>
  <cp:lastPrinted>2025-12-23T09:11:00Z</cp:lastPrinted>
  <dcterms:modified xsi:type="dcterms:W3CDTF">2025-12-29T11:01:39Z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